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6A" w:rsidRPr="000E3E6A" w:rsidRDefault="000E3E6A" w:rsidP="006B037A">
      <w:pPr>
        <w:spacing w:after="0"/>
        <w:jc w:val="center"/>
        <w:rPr>
          <w:i/>
          <w:sz w:val="30"/>
          <w:szCs w:val="30"/>
        </w:rPr>
      </w:pPr>
      <w:r w:rsidRPr="000E3E6A">
        <w:rPr>
          <w:i/>
          <w:sz w:val="30"/>
          <w:szCs w:val="30"/>
        </w:rPr>
        <w:t>(Napisano za objavo v novomašniški številki Družine 2017)</w:t>
      </w:r>
    </w:p>
    <w:p w:rsidR="000E3E6A" w:rsidRDefault="000E3E6A" w:rsidP="006B037A">
      <w:pPr>
        <w:spacing w:after="0"/>
        <w:jc w:val="center"/>
        <w:rPr>
          <w:b/>
          <w:sz w:val="30"/>
          <w:szCs w:val="30"/>
        </w:rPr>
      </w:pPr>
    </w:p>
    <w:p w:rsidR="00B13576" w:rsidRPr="00944307" w:rsidRDefault="002619F0" w:rsidP="006B037A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Molimo</w:t>
      </w:r>
      <w:r w:rsidR="006532F9" w:rsidRPr="00944307">
        <w:rPr>
          <w:b/>
          <w:sz w:val="30"/>
          <w:szCs w:val="30"/>
        </w:rPr>
        <w:t xml:space="preserve"> </w:t>
      </w:r>
      <w:r w:rsidR="007E4692" w:rsidRPr="00944307">
        <w:rPr>
          <w:b/>
          <w:sz w:val="30"/>
          <w:szCs w:val="30"/>
        </w:rPr>
        <w:t xml:space="preserve">za </w:t>
      </w:r>
      <w:r w:rsidR="00944307" w:rsidRPr="00944307">
        <w:rPr>
          <w:b/>
          <w:sz w:val="30"/>
          <w:szCs w:val="30"/>
        </w:rPr>
        <w:t xml:space="preserve">nove </w:t>
      </w:r>
      <w:r w:rsidR="007E4692" w:rsidRPr="00944307">
        <w:rPr>
          <w:b/>
          <w:sz w:val="30"/>
          <w:szCs w:val="30"/>
        </w:rPr>
        <w:t>duhovne poklice, ali je duhovnikov res premalo?</w:t>
      </w:r>
    </w:p>
    <w:p w:rsidR="006532F9" w:rsidRDefault="006532F9" w:rsidP="006B037A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Brigita Perše</w:t>
      </w:r>
    </w:p>
    <w:p w:rsidR="00083AB5" w:rsidRPr="00444749" w:rsidRDefault="00083AB5" w:rsidP="003B6ED7">
      <w:pPr>
        <w:spacing w:after="0"/>
        <w:jc w:val="both"/>
        <w:rPr>
          <w:b/>
          <w:sz w:val="23"/>
          <w:szCs w:val="23"/>
        </w:rPr>
      </w:pPr>
    </w:p>
    <w:p w:rsidR="006346C7" w:rsidRPr="006532F9" w:rsidRDefault="005F2DBE" w:rsidP="003B6ED7">
      <w:pPr>
        <w:spacing w:after="0"/>
        <w:jc w:val="both"/>
        <w:rPr>
          <w:sz w:val="23"/>
          <w:szCs w:val="23"/>
        </w:rPr>
      </w:pPr>
      <w:r w:rsidRPr="006532F9">
        <w:rPr>
          <w:rFonts w:eastAsia="Calibri" w:cs="Times New Roman"/>
          <w:sz w:val="23"/>
          <w:szCs w:val="23"/>
        </w:rPr>
        <w:t xml:space="preserve">Ko sem pred petnajstimi leti ravno </w:t>
      </w:r>
      <w:r w:rsidR="00FB339A">
        <w:rPr>
          <w:rFonts w:eastAsia="Calibri" w:cs="Times New Roman"/>
          <w:sz w:val="23"/>
          <w:szCs w:val="23"/>
        </w:rPr>
        <w:t>prišla</w:t>
      </w:r>
      <w:r w:rsidRPr="006532F9">
        <w:rPr>
          <w:rFonts w:eastAsia="Calibri" w:cs="Times New Roman"/>
          <w:sz w:val="23"/>
          <w:szCs w:val="23"/>
        </w:rPr>
        <w:t xml:space="preserve"> </w:t>
      </w:r>
      <w:r w:rsidR="00445ABE" w:rsidRPr="006532F9">
        <w:rPr>
          <w:rFonts w:eastAsia="Calibri" w:cs="Times New Roman"/>
          <w:sz w:val="23"/>
          <w:szCs w:val="23"/>
        </w:rPr>
        <w:t xml:space="preserve">na </w:t>
      </w:r>
      <w:r w:rsidR="006654EF" w:rsidRPr="006532F9">
        <w:rPr>
          <w:rFonts w:eastAsia="Calibri" w:cs="Times New Roman"/>
          <w:sz w:val="23"/>
          <w:szCs w:val="23"/>
        </w:rPr>
        <w:t xml:space="preserve">Nadškofijo Ljubljana </w:t>
      </w:r>
      <w:r w:rsidR="00445ABE" w:rsidRPr="006532F9">
        <w:rPr>
          <w:rFonts w:eastAsia="Calibri" w:cs="Times New Roman"/>
          <w:sz w:val="23"/>
          <w:szCs w:val="23"/>
        </w:rPr>
        <w:t xml:space="preserve">pod </w:t>
      </w:r>
      <w:r w:rsidRPr="006532F9">
        <w:rPr>
          <w:rFonts w:eastAsia="Calibri" w:cs="Times New Roman"/>
          <w:sz w:val="23"/>
          <w:szCs w:val="23"/>
        </w:rPr>
        <w:t xml:space="preserve">tedanjim </w:t>
      </w:r>
      <w:r w:rsidR="00445ABE" w:rsidRPr="006532F9">
        <w:rPr>
          <w:rFonts w:eastAsia="Calibri" w:cs="Times New Roman"/>
          <w:sz w:val="23"/>
          <w:szCs w:val="23"/>
        </w:rPr>
        <w:t xml:space="preserve">nadškofom dr. Francem Rodetom, </w:t>
      </w:r>
      <w:r w:rsidR="002E5FBC" w:rsidRPr="006532F9">
        <w:rPr>
          <w:rFonts w:eastAsia="Calibri" w:cs="Times New Roman"/>
          <w:sz w:val="23"/>
          <w:szCs w:val="23"/>
        </w:rPr>
        <w:t>me</w:t>
      </w:r>
      <w:r w:rsidRPr="006532F9">
        <w:rPr>
          <w:rFonts w:eastAsia="Calibri" w:cs="Times New Roman"/>
          <w:sz w:val="23"/>
          <w:szCs w:val="23"/>
        </w:rPr>
        <w:t xml:space="preserve"> je </w:t>
      </w:r>
      <w:r w:rsidR="00005E57" w:rsidRPr="006532F9">
        <w:rPr>
          <w:rFonts w:eastAsia="Calibri" w:cs="Times New Roman"/>
          <w:sz w:val="23"/>
          <w:szCs w:val="23"/>
        </w:rPr>
        <w:t xml:space="preserve">tik pred sejo </w:t>
      </w:r>
      <w:r w:rsidR="00442429" w:rsidRPr="006532F9">
        <w:rPr>
          <w:rFonts w:eastAsia="Calibri" w:cs="Times New Roman"/>
          <w:sz w:val="23"/>
          <w:szCs w:val="23"/>
        </w:rPr>
        <w:t xml:space="preserve">po telefonu </w:t>
      </w:r>
      <w:r w:rsidR="00445ABE" w:rsidRPr="006532F9">
        <w:rPr>
          <w:rFonts w:eastAsia="Calibri" w:cs="Times New Roman"/>
          <w:sz w:val="23"/>
          <w:szCs w:val="23"/>
        </w:rPr>
        <w:t xml:space="preserve">poklical frančiškanski duhovnik, in </w:t>
      </w:r>
      <w:r w:rsidRPr="006532F9">
        <w:rPr>
          <w:rFonts w:eastAsia="Calibri" w:cs="Times New Roman"/>
          <w:sz w:val="23"/>
          <w:szCs w:val="23"/>
        </w:rPr>
        <w:t xml:space="preserve">povedal, </w:t>
      </w:r>
      <w:r w:rsidR="00445ABE" w:rsidRPr="006532F9">
        <w:rPr>
          <w:rFonts w:eastAsia="Calibri" w:cs="Times New Roman"/>
          <w:sz w:val="23"/>
          <w:szCs w:val="23"/>
        </w:rPr>
        <w:t>da ima</w:t>
      </w:r>
      <w:r w:rsidR="002E5FBC" w:rsidRPr="006532F9">
        <w:rPr>
          <w:rFonts w:eastAsia="Calibri" w:cs="Times New Roman"/>
          <w:sz w:val="23"/>
          <w:szCs w:val="23"/>
        </w:rPr>
        <w:t xml:space="preserve"> </w:t>
      </w:r>
      <w:r w:rsidR="00445ABE" w:rsidRPr="006532F9">
        <w:rPr>
          <w:rFonts w:eastAsia="Calibri" w:cs="Times New Roman"/>
          <w:sz w:val="23"/>
          <w:szCs w:val="23"/>
        </w:rPr>
        <w:t xml:space="preserve">danes s posebno skupino </w:t>
      </w:r>
      <w:r w:rsidR="002E5FBC" w:rsidRPr="006532F9">
        <w:rPr>
          <w:rFonts w:eastAsia="Calibri" w:cs="Times New Roman"/>
          <w:sz w:val="23"/>
          <w:szCs w:val="23"/>
        </w:rPr>
        <w:t xml:space="preserve">napovedano </w:t>
      </w:r>
      <w:r w:rsidR="00445ABE" w:rsidRPr="006532F9">
        <w:rPr>
          <w:rFonts w:eastAsia="Calibri" w:cs="Times New Roman"/>
          <w:sz w:val="23"/>
          <w:szCs w:val="23"/>
        </w:rPr>
        <w:t xml:space="preserve">molitev za </w:t>
      </w:r>
      <w:r w:rsidR="00944307">
        <w:rPr>
          <w:rFonts w:eastAsia="Calibri" w:cs="Times New Roman"/>
          <w:sz w:val="23"/>
          <w:szCs w:val="23"/>
        </w:rPr>
        <w:t xml:space="preserve">nove </w:t>
      </w:r>
      <w:r w:rsidR="00445ABE" w:rsidRPr="006532F9">
        <w:rPr>
          <w:rFonts w:eastAsia="Calibri" w:cs="Times New Roman"/>
          <w:sz w:val="23"/>
          <w:szCs w:val="23"/>
        </w:rPr>
        <w:t xml:space="preserve">duhovne poklice. Zanimalo ga je, ali je res premalo </w:t>
      </w:r>
      <w:r w:rsidRPr="006532F9">
        <w:rPr>
          <w:rFonts w:eastAsia="Calibri" w:cs="Times New Roman"/>
          <w:sz w:val="23"/>
          <w:szCs w:val="23"/>
        </w:rPr>
        <w:t>duhovnikov</w:t>
      </w:r>
      <w:r w:rsidR="00445ABE" w:rsidRPr="006532F9">
        <w:rPr>
          <w:rFonts w:eastAsia="Calibri" w:cs="Times New Roman"/>
          <w:sz w:val="23"/>
          <w:szCs w:val="23"/>
        </w:rPr>
        <w:t xml:space="preserve">, in za koliko? </w:t>
      </w:r>
      <w:r w:rsidR="00005E57" w:rsidRPr="006532F9">
        <w:rPr>
          <w:rFonts w:eastAsia="Calibri" w:cs="Times New Roman"/>
          <w:sz w:val="23"/>
          <w:szCs w:val="23"/>
        </w:rPr>
        <w:t>Tedaj</w:t>
      </w:r>
      <w:r w:rsidR="002E5FBC" w:rsidRPr="006532F9">
        <w:rPr>
          <w:rFonts w:eastAsia="Calibri" w:cs="Times New Roman"/>
          <w:sz w:val="23"/>
          <w:szCs w:val="23"/>
        </w:rPr>
        <w:t xml:space="preserve"> se mi niti sanjalo ni, </w:t>
      </w:r>
      <w:r w:rsidR="00944307">
        <w:rPr>
          <w:rFonts w:eastAsia="Calibri" w:cs="Times New Roman"/>
          <w:sz w:val="23"/>
          <w:szCs w:val="23"/>
        </w:rPr>
        <w:t xml:space="preserve">kako je s tem. Kasneje sem ugotovila, </w:t>
      </w:r>
      <w:r w:rsidRPr="006532F9">
        <w:rPr>
          <w:rFonts w:eastAsia="Calibri" w:cs="Times New Roman"/>
          <w:sz w:val="23"/>
          <w:szCs w:val="23"/>
        </w:rPr>
        <w:t xml:space="preserve">da </w:t>
      </w:r>
      <w:r w:rsidR="00005E57" w:rsidRPr="006532F9">
        <w:rPr>
          <w:rFonts w:eastAsia="Calibri" w:cs="Times New Roman"/>
          <w:sz w:val="23"/>
          <w:szCs w:val="23"/>
        </w:rPr>
        <w:t xml:space="preserve">do tedaj </w:t>
      </w:r>
      <w:r w:rsidR="00445ABE" w:rsidRPr="006532F9">
        <w:rPr>
          <w:rFonts w:eastAsia="Calibri" w:cs="Times New Roman"/>
          <w:sz w:val="23"/>
          <w:szCs w:val="23"/>
        </w:rPr>
        <w:t xml:space="preserve">v slovenski Cerkvi </w:t>
      </w:r>
      <w:r w:rsidRPr="006532F9">
        <w:rPr>
          <w:rFonts w:eastAsia="Calibri" w:cs="Times New Roman"/>
          <w:sz w:val="23"/>
          <w:szCs w:val="23"/>
        </w:rPr>
        <w:t xml:space="preserve">pravzaprav </w:t>
      </w:r>
      <w:r w:rsidR="00005E57" w:rsidRPr="006532F9">
        <w:rPr>
          <w:rFonts w:eastAsia="Calibri" w:cs="Times New Roman"/>
          <w:sz w:val="23"/>
          <w:szCs w:val="23"/>
        </w:rPr>
        <w:t xml:space="preserve">niti ni </w:t>
      </w:r>
      <w:r w:rsidR="00442429" w:rsidRPr="006532F9">
        <w:rPr>
          <w:rFonts w:eastAsia="Calibri" w:cs="Times New Roman"/>
          <w:sz w:val="23"/>
          <w:szCs w:val="23"/>
        </w:rPr>
        <w:t>»</w:t>
      </w:r>
      <w:r w:rsidR="00005E57" w:rsidRPr="006532F9">
        <w:rPr>
          <w:rFonts w:eastAsia="Calibri" w:cs="Times New Roman"/>
          <w:sz w:val="23"/>
          <w:szCs w:val="23"/>
        </w:rPr>
        <w:t>primanjkovalo</w:t>
      </w:r>
      <w:r w:rsidR="00442429" w:rsidRPr="006532F9">
        <w:rPr>
          <w:rFonts w:eastAsia="Calibri" w:cs="Times New Roman"/>
          <w:sz w:val="23"/>
          <w:szCs w:val="23"/>
        </w:rPr>
        <w:t>«</w:t>
      </w:r>
      <w:r w:rsidR="00005E57" w:rsidRPr="006532F9">
        <w:rPr>
          <w:rFonts w:eastAsia="Calibri" w:cs="Times New Roman"/>
          <w:sz w:val="23"/>
          <w:szCs w:val="23"/>
        </w:rPr>
        <w:t xml:space="preserve"> duhovnikov, </w:t>
      </w:r>
      <w:r w:rsidR="00944307">
        <w:rPr>
          <w:rFonts w:eastAsia="Calibri" w:cs="Times New Roman"/>
          <w:sz w:val="23"/>
          <w:szCs w:val="23"/>
        </w:rPr>
        <w:t xml:space="preserve">in zaradi česar je bilo vprašanje patra delno tudi razumljivo. </w:t>
      </w:r>
      <w:r w:rsidR="00442429" w:rsidRPr="006532F9">
        <w:rPr>
          <w:rFonts w:eastAsia="Calibri" w:cs="Times New Roman"/>
          <w:sz w:val="23"/>
          <w:szCs w:val="23"/>
        </w:rPr>
        <w:t xml:space="preserve">Zadnje desetletje je število duhovnikov </w:t>
      </w:r>
      <w:r w:rsidR="00ED0EC5" w:rsidRPr="006532F9">
        <w:rPr>
          <w:rFonts w:eastAsia="Calibri" w:cs="Times New Roman"/>
          <w:sz w:val="23"/>
          <w:szCs w:val="23"/>
        </w:rPr>
        <w:t xml:space="preserve">upadalo le počasi, </w:t>
      </w:r>
      <w:r w:rsidR="00FB339A">
        <w:rPr>
          <w:rFonts w:eastAsia="Calibri" w:cs="Times New Roman"/>
          <w:sz w:val="23"/>
          <w:szCs w:val="23"/>
        </w:rPr>
        <w:t xml:space="preserve">stopamo pa </w:t>
      </w:r>
      <w:r w:rsidR="00A03A53">
        <w:rPr>
          <w:rFonts w:eastAsia="Calibri" w:cs="Times New Roman"/>
          <w:sz w:val="23"/>
          <w:szCs w:val="23"/>
        </w:rPr>
        <w:t xml:space="preserve">ravno </w:t>
      </w:r>
      <w:r w:rsidR="00442429" w:rsidRPr="006532F9">
        <w:rPr>
          <w:rFonts w:eastAsia="Calibri" w:cs="Times New Roman"/>
          <w:sz w:val="23"/>
          <w:szCs w:val="23"/>
        </w:rPr>
        <w:t>v obdobje</w:t>
      </w:r>
      <w:r w:rsidR="006654EF" w:rsidRPr="006532F9">
        <w:rPr>
          <w:rFonts w:eastAsia="Calibri" w:cs="Times New Roman"/>
          <w:sz w:val="23"/>
          <w:szCs w:val="23"/>
        </w:rPr>
        <w:t xml:space="preserve">, ko </w:t>
      </w:r>
      <w:r w:rsidR="00005E57" w:rsidRPr="006532F9">
        <w:rPr>
          <w:rFonts w:eastAsia="Calibri" w:cs="Times New Roman"/>
          <w:sz w:val="23"/>
          <w:szCs w:val="23"/>
        </w:rPr>
        <w:t>bo</w:t>
      </w:r>
      <w:r w:rsidR="00ED0EC5" w:rsidRPr="006532F9">
        <w:rPr>
          <w:rFonts w:eastAsia="Calibri" w:cs="Times New Roman"/>
          <w:sz w:val="23"/>
          <w:szCs w:val="23"/>
        </w:rPr>
        <w:t xml:space="preserve"> </w:t>
      </w:r>
      <w:r w:rsidR="00944307">
        <w:rPr>
          <w:rFonts w:eastAsia="Calibri" w:cs="Times New Roman"/>
          <w:sz w:val="23"/>
          <w:szCs w:val="23"/>
        </w:rPr>
        <w:t>začelo bolj hitro upadati</w:t>
      </w:r>
      <w:r w:rsidR="00005E57" w:rsidRPr="006532F9">
        <w:rPr>
          <w:rFonts w:eastAsia="Calibri" w:cs="Times New Roman"/>
          <w:sz w:val="23"/>
          <w:szCs w:val="23"/>
        </w:rPr>
        <w:t xml:space="preserve">. </w:t>
      </w:r>
      <w:r w:rsidR="006654EF" w:rsidRPr="006532F9">
        <w:rPr>
          <w:rFonts w:eastAsia="Calibri" w:cs="Times New Roman"/>
          <w:sz w:val="23"/>
          <w:szCs w:val="23"/>
        </w:rPr>
        <w:t>Kako je to mogoče</w:t>
      </w:r>
      <w:r w:rsidR="000019E6" w:rsidRPr="006532F9">
        <w:rPr>
          <w:rFonts w:eastAsia="Calibri" w:cs="Times New Roman"/>
          <w:sz w:val="23"/>
          <w:szCs w:val="23"/>
        </w:rPr>
        <w:t xml:space="preserve"> napoveda</w:t>
      </w:r>
      <w:r w:rsidR="007E4692" w:rsidRPr="006532F9">
        <w:rPr>
          <w:rFonts w:eastAsia="Calibri" w:cs="Times New Roman"/>
          <w:sz w:val="23"/>
          <w:szCs w:val="23"/>
        </w:rPr>
        <w:t>t</w:t>
      </w:r>
      <w:r w:rsidR="000019E6" w:rsidRPr="006532F9">
        <w:rPr>
          <w:rFonts w:eastAsia="Calibri" w:cs="Times New Roman"/>
          <w:sz w:val="23"/>
          <w:szCs w:val="23"/>
        </w:rPr>
        <w:t>i</w:t>
      </w:r>
      <w:r w:rsidR="006654EF" w:rsidRPr="006532F9">
        <w:rPr>
          <w:rFonts w:eastAsia="Calibri" w:cs="Times New Roman"/>
          <w:sz w:val="23"/>
          <w:szCs w:val="23"/>
        </w:rPr>
        <w:t>?</w:t>
      </w:r>
      <w:r w:rsidR="00005E57" w:rsidRPr="006532F9">
        <w:rPr>
          <w:rFonts w:eastAsia="Calibri" w:cs="Times New Roman"/>
          <w:sz w:val="23"/>
          <w:szCs w:val="23"/>
        </w:rPr>
        <w:t xml:space="preserve"> </w:t>
      </w:r>
      <w:r w:rsidR="00DC5151" w:rsidRPr="006532F9">
        <w:rPr>
          <w:rFonts w:eastAsia="Calibri" w:cs="Times New Roman"/>
          <w:sz w:val="23"/>
          <w:szCs w:val="23"/>
        </w:rPr>
        <w:t xml:space="preserve">V Sloveniji </w:t>
      </w:r>
      <w:r w:rsidR="00FB339A">
        <w:rPr>
          <w:rFonts w:eastAsia="Calibri" w:cs="Times New Roman"/>
          <w:sz w:val="23"/>
          <w:szCs w:val="23"/>
        </w:rPr>
        <w:t xml:space="preserve">imamo </w:t>
      </w:r>
      <w:r w:rsidR="00DC5151" w:rsidRPr="006532F9">
        <w:rPr>
          <w:rFonts w:eastAsia="Calibri" w:cs="Times New Roman"/>
          <w:sz w:val="23"/>
          <w:szCs w:val="23"/>
        </w:rPr>
        <w:t xml:space="preserve">trenutno okrog </w:t>
      </w:r>
      <w:r w:rsidR="00005E57" w:rsidRPr="006532F9">
        <w:rPr>
          <w:rFonts w:eastAsia="Calibri" w:cs="Times New Roman"/>
          <w:sz w:val="23"/>
          <w:szCs w:val="23"/>
        </w:rPr>
        <w:t>1000 duhovnikov (četrtina od teh je redovnih)</w:t>
      </w:r>
      <w:r w:rsidR="00442429" w:rsidRPr="006532F9">
        <w:rPr>
          <w:rFonts w:eastAsia="Calibri" w:cs="Times New Roman"/>
          <w:sz w:val="23"/>
          <w:szCs w:val="23"/>
        </w:rPr>
        <w:t xml:space="preserve"> v povprečni starosti šestdeset</w:t>
      </w:r>
      <w:r w:rsidR="00005E57" w:rsidRPr="006532F9">
        <w:rPr>
          <w:sz w:val="23"/>
          <w:szCs w:val="23"/>
        </w:rPr>
        <w:t xml:space="preserve"> let. </w:t>
      </w:r>
      <w:r w:rsidR="00FB339A">
        <w:rPr>
          <w:sz w:val="23"/>
          <w:szCs w:val="23"/>
        </w:rPr>
        <w:t xml:space="preserve">Največ duhovnikov je danes starih </w:t>
      </w:r>
      <w:r w:rsidR="006654EF" w:rsidRPr="006532F9">
        <w:rPr>
          <w:sz w:val="23"/>
          <w:szCs w:val="23"/>
        </w:rPr>
        <w:t xml:space="preserve">od </w:t>
      </w:r>
      <w:r w:rsidR="006346C7" w:rsidRPr="006532F9">
        <w:rPr>
          <w:sz w:val="23"/>
          <w:szCs w:val="23"/>
        </w:rPr>
        <w:t xml:space="preserve">63 do 75 let. Zakaj je ta starostna skupina še vedno tako </w:t>
      </w:r>
      <w:r w:rsidR="00FB339A">
        <w:rPr>
          <w:sz w:val="23"/>
          <w:szCs w:val="23"/>
        </w:rPr>
        <w:t>množična</w:t>
      </w:r>
      <w:r w:rsidR="006346C7" w:rsidRPr="006532F9">
        <w:rPr>
          <w:sz w:val="23"/>
          <w:szCs w:val="23"/>
        </w:rPr>
        <w:t xml:space="preserve">, </w:t>
      </w:r>
      <w:r w:rsidR="006F6677" w:rsidRPr="006532F9">
        <w:rPr>
          <w:sz w:val="23"/>
          <w:szCs w:val="23"/>
        </w:rPr>
        <w:t>čeprav</w:t>
      </w:r>
      <w:r w:rsidR="00481EFE" w:rsidRPr="006532F9">
        <w:rPr>
          <w:sz w:val="23"/>
          <w:szCs w:val="23"/>
        </w:rPr>
        <w:t xml:space="preserve"> </w:t>
      </w:r>
      <w:r w:rsidR="009F2C1B" w:rsidRPr="006532F9">
        <w:rPr>
          <w:sz w:val="23"/>
          <w:szCs w:val="23"/>
        </w:rPr>
        <w:t xml:space="preserve">je </w:t>
      </w:r>
      <w:proofErr w:type="spellStart"/>
      <w:r w:rsidR="00481EFE" w:rsidRPr="006532F9">
        <w:rPr>
          <w:sz w:val="23"/>
          <w:szCs w:val="23"/>
        </w:rPr>
        <w:t>je</w:t>
      </w:r>
      <w:proofErr w:type="spellEnd"/>
      <w:r w:rsidR="00481EFE" w:rsidRPr="006532F9">
        <w:rPr>
          <w:sz w:val="23"/>
          <w:szCs w:val="23"/>
        </w:rPr>
        <w:t xml:space="preserve"> nekaj </w:t>
      </w:r>
      <w:r w:rsidR="006F6677" w:rsidRPr="006532F9">
        <w:rPr>
          <w:sz w:val="23"/>
          <w:szCs w:val="23"/>
        </w:rPr>
        <w:t xml:space="preserve">odšlo </w:t>
      </w:r>
      <w:r w:rsidR="00ED0EC5" w:rsidRPr="006532F9">
        <w:rPr>
          <w:sz w:val="23"/>
          <w:szCs w:val="23"/>
        </w:rPr>
        <w:t xml:space="preserve">že </w:t>
      </w:r>
      <w:r w:rsidR="006F6677" w:rsidRPr="006532F9">
        <w:rPr>
          <w:sz w:val="23"/>
          <w:szCs w:val="23"/>
        </w:rPr>
        <w:t xml:space="preserve">v večnost, </w:t>
      </w:r>
      <w:r w:rsidR="009E25EE" w:rsidRPr="006532F9">
        <w:rPr>
          <w:sz w:val="23"/>
          <w:szCs w:val="23"/>
        </w:rPr>
        <w:t>pojasni</w:t>
      </w:r>
      <w:r w:rsidR="006346C7" w:rsidRPr="006532F9">
        <w:rPr>
          <w:sz w:val="23"/>
          <w:szCs w:val="23"/>
        </w:rPr>
        <w:t xml:space="preserve"> </w:t>
      </w:r>
      <w:r w:rsidR="00442429" w:rsidRPr="006532F9">
        <w:rPr>
          <w:sz w:val="23"/>
          <w:szCs w:val="23"/>
        </w:rPr>
        <w:t xml:space="preserve">graf, ki </w:t>
      </w:r>
      <w:r w:rsidR="00ED0EC5" w:rsidRPr="006532F9">
        <w:rPr>
          <w:sz w:val="23"/>
          <w:szCs w:val="23"/>
        </w:rPr>
        <w:t xml:space="preserve">zgolj okvirno </w:t>
      </w:r>
      <w:r w:rsidR="00442429" w:rsidRPr="006532F9">
        <w:rPr>
          <w:sz w:val="23"/>
          <w:szCs w:val="23"/>
        </w:rPr>
        <w:t xml:space="preserve">kaže </w:t>
      </w:r>
      <w:r w:rsidR="006346C7" w:rsidRPr="006532F9">
        <w:rPr>
          <w:sz w:val="23"/>
          <w:szCs w:val="23"/>
        </w:rPr>
        <w:t>gibanje števila novomašnikov na Slovenskem.</w:t>
      </w:r>
    </w:p>
    <w:p w:rsidR="00A03A53" w:rsidRDefault="00A03A53" w:rsidP="00A03A53">
      <w:pPr>
        <w:spacing w:after="0"/>
        <w:rPr>
          <w:sz w:val="23"/>
          <w:szCs w:val="23"/>
        </w:rPr>
      </w:pPr>
    </w:p>
    <w:p w:rsidR="00A03A53" w:rsidRDefault="00A03A53" w:rsidP="00A03A53">
      <w:pPr>
        <w:spacing w:after="0"/>
        <w:rPr>
          <w:sz w:val="23"/>
          <w:szCs w:val="23"/>
        </w:rPr>
      </w:pPr>
      <w:r w:rsidRPr="006532F9">
        <w:rPr>
          <w:sz w:val="23"/>
          <w:szCs w:val="23"/>
        </w:rPr>
        <w:t>Novomašniki v Cerkvi na Slovenskem, 1952–2017</w:t>
      </w:r>
    </w:p>
    <w:p w:rsidR="007B1918" w:rsidRDefault="007B1918" w:rsidP="00E571BE">
      <w:pPr>
        <w:spacing w:after="0"/>
        <w:jc w:val="center"/>
        <w:rPr>
          <w:sz w:val="23"/>
          <w:szCs w:val="23"/>
        </w:rPr>
      </w:pPr>
      <w:r w:rsidRPr="007B1918">
        <w:rPr>
          <w:noProof/>
          <w:sz w:val="23"/>
          <w:szCs w:val="23"/>
          <w:lang w:eastAsia="sl-SI"/>
        </w:rPr>
        <w:drawing>
          <wp:inline distT="0" distB="0" distL="0" distR="0">
            <wp:extent cx="5410200" cy="3340100"/>
            <wp:effectExtent l="0" t="0" r="0" b="0"/>
            <wp:docPr id="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1918" w:rsidRDefault="007B1918" w:rsidP="00A03A53">
      <w:pPr>
        <w:spacing w:after="0"/>
        <w:rPr>
          <w:sz w:val="23"/>
          <w:szCs w:val="23"/>
        </w:rPr>
      </w:pPr>
    </w:p>
    <w:p w:rsidR="00ED0EC5" w:rsidRDefault="00442429" w:rsidP="00766A88">
      <w:pPr>
        <w:spacing w:after="0"/>
        <w:jc w:val="both"/>
        <w:rPr>
          <w:sz w:val="23"/>
          <w:szCs w:val="23"/>
        </w:rPr>
      </w:pPr>
      <w:r w:rsidRPr="006532F9">
        <w:rPr>
          <w:sz w:val="23"/>
          <w:szCs w:val="23"/>
        </w:rPr>
        <w:t xml:space="preserve">V Sloveniji je bilo izredno veliko novomašnikov </w:t>
      </w:r>
      <w:r w:rsidR="00DC5151" w:rsidRPr="006532F9">
        <w:rPr>
          <w:sz w:val="23"/>
          <w:szCs w:val="23"/>
        </w:rPr>
        <w:t>v</w:t>
      </w:r>
      <w:r w:rsidR="003405EA" w:rsidRPr="006532F9">
        <w:rPr>
          <w:sz w:val="23"/>
          <w:szCs w:val="23"/>
        </w:rPr>
        <w:t xml:space="preserve"> sedemdesetih letih</w:t>
      </w:r>
      <w:r w:rsidR="007E4692" w:rsidRPr="006532F9">
        <w:rPr>
          <w:sz w:val="23"/>
          <w:szCs w:val="23"/>
        </w:rPr>
        <w:t xml:space="preserve"> prejšnjega stoletja</w:t>
      </w:r>
      <w:r w:rsidRPr="006532F9">
        <w:rPr>
          <w:sz w:val="23"/>
          <w:szCs w:val="23"/>
        </w:rPr>
        <w:t xml:space="preserve">. Tedaj je bilo </w:t>
      </w:r>
      <w:r w:rsidR="003405EA" w:rsidRPr="006532F9">
        <w:rPr>
          <w:sz w:val="23"/>
          <w:szCs w:val="23"/>
        </w:rPr>
        <w:t xml:space="preserve">povprečno </w:t>
      </w:r>
      <w:r w:rsidR="00DC5151" w:rsidRPr="006532F9">
        <w:rPr>
          <w:sz w:val="23"/>
          <w:szCs w:val="23"/>
        </w:rPr>
        <w:t>petdeset</w:t>
      </w:r>
      <w:r w:rsidR="003405EA" w:rsidRPr="006532F9">
        <w:rPr>
          <w:sz w:val="23"/>
          <w:szCs w:val="23"/>
        </w:rPr>
        <w:t xml:space="preserve"> novih maš</w:t>
      </w:r>
      <w:r w:rsidRPr="006532F9">
        <w:rPr>
          <w:sz w:val="23"/>
          <w:szCs w:val="23"/>
        </w:rPr>
        <w:t xml:space="preserve"> na leto</w:t>
      </w:r>
      <w:r w:rsidR="006A3425" w:rsidRPr="006532F9">
        <w:rPr>
          <w:sz w:val="23"/>
          <w:szCs w:val="23"/>
        </w:rPr>
        <w:t xml:space="preserve">, z izjemo </w:t>
      </w:r>
      <w:r w:rsidR="000019E6" w:rsidRPr="006532F9">
        <w:rPr>
          <w:sz w:val="23"/>
          <w:szCs w:val="23"/>
        </w:rPr>
        <w:t xml:space="preserve">enega </w:t>
      </w:r>
      <w:r w:rsidR="006A3425" w:rsidRPr="006532F9">
        <w:rPr>
          <w:sz w:val="23"/>
          <w:szCs w:val="23"/>
        </w:rPr>
        <w:t>leta</w:t>
      </w:r>
      <w:r w:rsidR="003405EA" w:rsidRPr="006532F9">
        <w:rPr>
          <w:sz w:val="23"/>
          <w:szCs w:val="23"/>
        </w:rPr>
        <w:t xml:space="preserve">, ko se je </w:t>
      </w:r>
      <w:r w:rsidR="006A3425" w:rsidRPr="006532F9">
        <w:rPr>
          <w:sz w:val="23"/>
          <w:szCs w:val="23"/>
        </w:rPr>
        <w:t xml:space="preserve">mašniško </w:t>
      </w:r>
      <w:r w:rsidR="003405EA" w:rsidRPr="006532F9">
        <w:rPr>
          <w:sz w:val="23"/>
          <w:szCs w:val="23"/>
        </w:rPr>
        <w:t xml:space="preserve">posvečenje preneslo s </w:t>
      </w:r>
      <w:r w:rsidR="00DC5151" w:rsidRPr="006532F9">
        <w:rPr>
          <w:sz w:val="23"/>
          <w:szCs w:val="23"/>
        </w:rPr>
        <w:t>petega</w:t>
      </w:r>
      <w:r w:rsidR="003405EA" w:rsidRPr="006532F9">
        <w:rPr>
          <w:sz w:val="23"/>
          <w:szCs w:val="23"/>
        </w:rPr>
        <w:t xml:space="preserve"> na </w:t>
      </w:r>
      <w:r w:rsidR="00DC5151" w:rsidRPr="006532F9">
        <w:rPr>
          <w:sz w:val="23"/>
          <w:szCs w:val="23"/>
        </w:rPr>
        <w:t>šesti</w:t>
      </w:r>
      <w:r w:rsidR="003405EA" w:rsidRPr="006532F9">
        <w:rPr>
          <w:sz w:val="23"/>
          <w:szCs w:val="23"/>
        </w:rPr>
        <w:t xml:space="preserve"> letnik Teološke fakultete. </w:t>
      </w:r>
      <w:r w:rsidR="00DC5151" w:rsidRPr="006532F9">
        <w:rPr>
          <w:sz w:val="23"/>
          <w:szCs w:val="23"/>
        </w:rPr>
        <w:t xml:space="preserve">Ta </w:t>
      </w:r>
      <w:r w:rsidR="006A3425" w:rsidRPr="006532F9">
        <w:rPr>
          <w:sz w:val="23"/>
          <w:szCs w:val="23"/>
        </w:rPr>
        <w:t>populacija</w:t>
      </w:r>
      <w:r w:rsidR="00976223" w:rsidRPr="006532F9">
        <w:rPr>
          <w:sz w:val="23"/>
          <w:szCs w:val="23"/>
        </w:rPr>
        <w:t xml:space="preserve"> je bila </w:t>
      </w:r>
      <w:r w:rsidR="00DC5151" w:rsidRPr="006532F9">
        <w:rPr>
          <w:sz w:val="23"/>
          <w:szCs w:val="23"/>
        </w:rPr>
        <w:t xml:space="preserve">v Sloveniji tudi </w:t>
      </w:r>
      <w:r w:rsidR="00976223" w:rsidRPr="006532F9">
        <w:rPr>
          <w:sz w:val="23"/>
          <w:szCs w:val="23"/>
        </w:rPr>
        <w:t xml:space="preserve">najštevilčnejša, tj. generacija otrok, ki so se rodili kmalu po </w:t>
      </w:r>
      <w:r w:rsidR="00ED0EC5" w:rsidRPr="006532F9">
        <w:rPr>
          <w:sz w:val="23"/>
          <w:szCs w:val="23"/>
        </w:rPr>
        <w:t xml:space="preserve">drugi svetovni </w:t>
      </w:r>
      <w:r w:rsidR="00976223" w:rsidRPr="006532F9">
        <w:rPr>
          <w:sz w:val="23"/>
          <w:szCs w:val="23"/>
        </w:rPr>
        <w:t>vojni</w:t>
      </w:r>
      <w:r w:rsidR="006A3425" w:rsidRPr="006532F9">
        <w:rPr>
          <w:sz w:val="23"/>
          <w:szCs w:val="23"/>
        </w:rPr>
        <w:t xml:space="preserve"> in </w:t>
      </w:r>
      <w:r w:rsidR="007E4692" w:rsidRPr="006532F9">
        <w:rPr>
          <w:sz w:val="23"/>
          <w:szCs w:val="23"/>
        </w:rPr>
        <w:t xml:space="preserve">so </w:t>
      </w:r>
      <w:r w:rsidR="006A3425" w:rsidRPr="006532F9">
        <w:rPr>
          <w:sz w:val="23"/>
          <w:szCs w:val="23"/>
        </w:rPr>
        <w:t>tedaj vstopali na trg dela</w:t>
      </w:r>
      <w:r w:rsidR="00976223" w:rsidRPr="006532F9">
        <w:rPr>
          <w:sz w:val="23"/>
          <w:szCs w:val="23"/>
        </w:rPr>
        <w:t xml:space="preserve">. </w:t>
      </w:r>
      <w:r w:rsidRPr="006532F9">
        <w:rPr>
          <w:sz w:val="23"/>
          <w:szCs w:val="23"/>
        </w:rPr>
        <w:t xml:space="preserve">Takoj nato </w:t>
      </w:r>
      <w:r w:rsidR="00ED0EC5" w:rsidRPr="006532F9">
        <w:rPr>
          <w:sz w:val="23"/>
          <w:szCs w:val="23"/>
        </w:rPr>
        <w:t xml:space="preserve">pa </w:t>
      </w:r>
      <w:r w:rsidRPr="006532F9">
        <w:rPr>
          <w:sz w:val="23"/>
          <w:szCs w:val="23"/>
        </w:rPr>
        <w:t>je bilo n</w:t>
      </w:r>
      <w:r w:rsidR="006A3425" w:rsidRPr="006532F9">
        <w:rPr>
          <w:sz w:val="23"/>
          <w:szCs w:val="23"/>
        </w:rPr>
        <w:t xml:space="preserve">ovomašnikov </w:t>
      </w:r>
      <w:r w:rsidRPr="006532F9">
        <w:rPr>
          <w:sz w:val="23"/>
          <w:szCs w:val="23"/>
        </w:rPr>
        <w:t xml:space="preserve">toliko, kot pred tem, to je okrog dvajset. Vse od nastanka </w:t>
      </w:r>
      <w:r w:rsidR="00ED0EC5" w:rsidRPr="006532F9">
        <w:rPr>
          <w:sz w:val="23"/>
          <w:szCs w:val="23"/>
        </w:rPr>
        <w:t xml:space="preserve">treh </w:t>
      </w:r>
      <w:r w:rsidRPr="006532F9">
        <w:rPr>
          <w:sz w:val="23"/>
          <w:szCs w:val="23"/>
        </w:rPr>
        <w:t xml:space="preserve">novih škofij </w:t>
      </w:r>
      <w:r w:rsidR="000019E6" w:rsidRPr="006532F9">
        <w:rPr>
          <w:sz w:val="23"/>
          <w:szCs w:val="23"/>
        </w:rPr>
        <w:t>pred desetimi leti</w:t>
      </w:r>
      <w:r w:rsidR="00ED0EC5" w:rsidRPr="006532F9">
        <w:rPr>
          <w:sz w:val="23"/>
          <w:szCs w:val="23"/>
        </w:rPr>
        <w:t xml:space="preserve"> </w:t>
      </w:r>
      <w:r w:rsidR="007E4692" w:rsidRPr="006532F9">
        <w:rPr>
          <w:sz w:val="23"/>
          <w:szCs w:val="23"/>
        </w:rPr>
        <w:t xml:space="preserve">pa </w:t>
      </w:r>
      <w:r w:rsidR="00ED0EC5" w:rsidRPr="006532F9">
        <w:rPr>
          <w:sz w:val="23"/>
          <w:szCs w:val="23"/>
        </w:rPr>
        <w:t>do danes</w:t>
      </w:r>
      <w:r w:rsidRPr="006532F9">
        <w:rPr>
          <w:sz w:val="23"/>
          <w:szCs w:val="23"/>
        </w:rPr>
        <w:t xml:space="preserve"> </w:t>
      </w:r>
      <w:r w:rsidR="007E4692" w:rsidRPr="006532F9">
        <w:rPr>
          <w:sz w:val="23"/>
          <w:szCs w:val="23"/>
        </w:rPr>
        <w:t xml:space="preserve">smo imeli okrog </w:t>
      </w:r>
      <w:r w:rsidR="00DC5151" w:rsidRPr="006532F9">
        <w:rPr>
          <w:sz w:val="23"/>
          <w:szCs w:val="23"/>
        </w:rPr>
        <w:t>deset</w:t>
      </w:r>
      <w:r w:rsidR="003405EA" w:rsidRPr="006532F9">
        <w:rPr>
          <w:sz w:val="23"/>
          <w:szCs w:val="23"/>
        </w:rPr>
        <w:t xml:space="preserve"> </w:t>
      </w:r>
      <w:r w:rsidR="003405EA" w:rsidRPr="006532F9">
        <w:rPr>
          <w:sz w:val="23"/>
          <w:szCs w:val="23"/>
        </w:rPr>
        <w:lastRenderedPageBreak/>
        <w:t>novomašnikov</w:t>
      </w:r>
      <w:r w:rsidR="00976223" w:rsidRPr="006532F9">
        <w:rPr>
          <w:sz w:val="23"/>
          <w:szCs w:val="23"/>
        </w:rPr>
        <w:t xml:space="preserve"> na leto; </w:t>
      </w:r>
      <w:r w:rsidR="005A2A38" w:rsidRPr="006532F9">
        <w:rPr>
          <w:sz w:val="23"/>
          <w:szCs w:val="23"/>
        </w:rPr>
        <w:t>to</w:t>
      </w:r>
      <w:r w:rsidR="00976223" w:rsidRPr="006532F9">
        <w:rPr>
          <w:sz w:val="23"/>
          <w:szCs w:val="23"/>
        </w:rPr>
        <w:t xml:space="preserve"> leto </w:t>
      </w:r>
      <w:r w:rsidR="005A2A38" w:rsidRPr="006532F9">
        <w:rPr>
          <w:sz w:val="23"/>
          <w:szCs w:val="23"/>
        </w:rPr>
        <w:t xml:space="preserve">so </w:t>
      </w:r>
      <w:r w:rsidR="00976223" w:rsidRPr="006532F9">
        <w:rPr>
          <w:sz w:val="23"/>
          <w:szCs w:val="23"/>
        </w:rPr>
        <w:t>prvič le t</w:t>
      </w:r>
      <w:r w:rsidR="003405EA" w:rsidRPr="006532F9">
        <w:rPr>
          <w:sz w:val="23"/>
          <w:szCs w:val="23"/>
        </w:rPr>
        <w:t xml:space="preserve">rije. Vsak tretji novomašnik prihaja iz redovnih skupnosti. </w:t>
      </w:r>
    </w:p>
    <w:p w:rsidR="00F67E66" w:rsidRDefault="00CF229E" w:rsidP="00A03A53">
      <w:pPr>
        <w:pStyle w:val="Telobesedila"/>
        <w:spacing w:line="276" w:lineRule="auto"/>
        <w:rPr>
          <w:rFonts w:asciiTheme="minorHAnsi" w:eastAsia="Calibri" w:hAnsiTheme="minorHAnsi" w:cs="Times New Roman"/>
          <w:sz w:val="23"/>
          <w:szCs w:val="23"/>
        </w:rPr>
      </w:pPr>
      <w:r w:rsidRPr="00944307">
        <w:rPr>
          <w:rFonts w:asciiTheme="minorHAnsi" w:hAnsiTheme="minorHAnsi"/>
          <w:sz w:val="23"/>
          <w:szCs w:val="23"/>
        </w:rPr>
        <w:t>Š</w:t>
      </w:r>
      <w:r w:rsidRPr="00944307">
        <w:rPr>
          <w:rFonts w:asciiTheme="minorHAnsi" w:eastAsia="Calibri" w:hAnsiTheme="minorHAnsi" w:cs="Times New Roman"/>
          <w:sz w:val="23"/>
          <w:szCs w:val="23"/>
        </w:rPr>
        <w:t xml:space="preserve">tevilo duhovnikov je pomemben dejavnik verskega življenja, še zlasti v krajevnih cerkvah, kakršna je slovenska, ki je bila v preteklosti zelo odvisna od </w:t>
      </w:r>
      <w:r w:rsidR="00F67E66">
        <w:rPr>
          <w:rFonts w:asciiTheme="minorHAnsi" w:eastAsia="Calibri" w:hAnsiTheme="minorHAnsi" w:cs="Times New Roman"/>
          <w:sz w:val="23"/>
          <w:szCs w:val="23"/>
        </w:rPr>
        <w:t>njih</w:t>
      </w:r>
      <w:r w:rsidRPr="00944307">
        <w:rPr>
          <w:rFonts w:asciiTheme="minorHAnsi" w:eastAsia="Calibri" w:hAnsiTheme="minorHAnsi" w:cs="Times New Roman"/>
          <w:sz w:val="23"/>
          <w:szCs w:val="23"/>
        </w:rPr>
        <w:t xml:space="preserve">. Takšna je bila tudi zato, ker v socializmu ni bilo priporočljivo biti veren, zaradi česar so se </w:t>
      </w:r>
      <w:r w:rsidR="00A03A53">
        <w:rPr>
          <w:rFonts w:asciiTheme="minorHAnsi" w:eastAsia="Calibri" w:hAnsiTheme="minorHAnsi" w:cs="Times New Roman"/>
          <w:sz w:val="23"/>
          <w:szCs w:val="23"/>
        </w:rPr>
        <w:t>verniki</w:t>
      </w:r>
      <w:r w:rsidRPr="00944307">
        <w:rPr>
          <w:rFonts w:asciiTheme="minorHAnsi" w:eastAsia="Calibri" w:hAnsiTheme="minorHAnsi" w:cs="Times New Roman"/>
          <w:sz w:val="23"/>
          <w:szCs w:val="23"/>
        </w:rPr>
        <w:t xml:space="preserve"> držali bolj ob strani, tako da je skoraj vsa verska dejavnost slonela na plečih duhovnika. </w:t>
      </w:r>
    </w:p>
    <w:p w:rsidR="009F2D2B" w:rsidRDefault="001F7C0E" w:rsidP="00A03A53">
      <w:pPr>
        <w:pStyle w:val="Telobesedila"/>
        <w:spacing w:line="276" w:lineRule="auto"/>
        <w:rPr>
          <w:rFonts w:asciiTheme="minorHAnsi" w:hAnsiTheme="minorHAnsi" w:cs="Times New Roman"/>
          <w:sz w:val="23"/>
          <w:szCs w:val="23"/>
        </w:rPr>
      </w:pPr>
      <w:r w:rsidRPr="00944307">
        <w:rPr>
          <w:rFonts w:asciiTheme="minorHAnsi" w:eastAsia="Calibri" w:hAnsiTheme="minorHAnsi" w:cs="Times New Roman"/>
          <w:sz w:val="23"/>
          <w:szCs w:val="23"/>
        </w:rPr>
        <w:t xml:space="preserve">Danes je tri četrtine ljudi v Sloveniji še katoličanov, od katerih pa le vsak šesti pride v nedeljo k sveti maši. </w:t>
      </w:r>
      <w:r w:rsidR="002E5FBC" w:rsidRPr="00944307">
        <w:rPr>
          <w:rFonts w:asciiTheme="minorHAnsi" w:hAnsiTheme="minorHAnsi" w:cs="Times New Roman"/>
          <w:sz w:val="23"/>
          <w:szCs w:val="23"/>
        </w:rPr>
        <w:t xml:space="preserve">V Sloveniji </w:t>
      </w:r>
      <w:r w:rsidR="00A03A53">
        <w:rPr>
          <w:rFonts w:asciiTheme="minorHAnsi" w:hAnsiTheme="minorHAnsi" w:cs="Times New Roman"/>
          <w:sz w:val="23"/>
          <w:szCs w:val="23"/>
        </w:rPr>
        <w:t xml:space="preserve">trenutno </w:t>
      </w:r>
      <w:r w:rsidR="002E5FBC" w:rsidRPr="00944307">
        <w:rPr>
          <w:rFonts w:asciiTheme="minorHAnsi" w:hAnsiTheme="minorHAnsi" w:cs="Times New Roman"/>
          <w:sz w:val="23"/>
          <w:szCs w:val="23"/>
        </w:rPr>
        <w:t xml:space="preserve">pride na enega duhovnika okrog 1500 vernikov. </w:t>
      </w:r>
      <w:r w:rsidR="00A03A53">
        <w:rPr>
          <w:rFonts w:asciiTheme="minorHAnsi" w:hAnsiTheme="minorHAnsi" w:cs="Times New Roman"/>
          <w:sz w:val="23"/>
          <w:szCs w:val="23"/>
        </w:rPr>
        <w:t>S</w:t>
      </w:r>
      <w:r w:rsidR="000019E6" w:rsidRPr="00944307">
        <w:rPr>
          <w:rFonts w:asciiTheme="minorHAnsi" w:hAnsiTheme="minorHAnsi" w:cs="Times New Roman"/>
          <w:sz w:val="23"/>
          <w:szCs w:val="23"/>
        </w:rPr>
        <w:t xml:space="preserve">tarost </w:t>
      </w:r>
      <w:r w:rsidR="00FB339A">
        <w:rPr>
          <w:rFonts w:asciiTheme="minorHAnsi" w:hAnsiTheme="minorHAnsi" w:cs="Times New Roman"/>
          <w:sz w:val="23"/>
          <w:szCs w:val="23"/>
        </w:rPr>
        <w:t xml:space="preserve">naših </w:t>
      </w:r>
      <w:r w:rsidR="00B13576" w:rsidRPr="00944307">
        <w:rPr>
          <w:rFonts w:asciiTheme="minorHAnsi" w:hAnsiTheme="minorHAnsi" w:cs="Times New Roman"/>
          <w:sz w:val="23"/>
          <w:szCs w:val="23"/>
        </w:rPr>
        <w:t xml:space="preserve">duhovnikov </w:t>
      </w:r>
      <w:r w:rsidR="006532F9" w:rsidRPr="00944307">
        <w:rPr>
          <w:rFonts w:asciiTheme="minorHAnsi" w:hAnsiTheme="minorHAnsi" w:cs="Times New Roman"/>
          <w:sz w:val="23"/>
          <w:szCs w:val="23"/>
        </w:rPr>
        <w:t xml:space="preserve">pa </w:t>
      </w:r>
      <w:r w:rsidR="00B13576" w:rsidRPr="00944307">
        <w:rPr>
          <w:rFonts w:asciiTheme="minorHAnsi" w:hAnsiTheme="minorHAnsi" w:cs="Times New Roman"/>
          <w:sz w:val="23"/>
          <w:szCs w:val="23"/>
        </w:rPr>
        <w:t>kaže, da</w:t>
      </w:r>
      <w:r w:rsidR="00BF3F52" w:rsidRPr="00944307">
        <w:rPr>
          <w:rFonts w:asciiTheme="minorHAnsi" w:hAnsiTheme="minorHAnsi" w:cs="Times New Roman"/>
          <w:sz w:val="23"/>
          <w:szCs w:val="23"/>
        </w:rPr>
        <w:t xml:space="preserve"> </w:t>
      </w:r>
      <w:r w:rsidR="00FB339A">
        <w:rPr>
          <w:rFonts w:asciiTheme="minorHAnsi" w:hAnsiTheme="minorHAnsi" w:cs="Times New Roman"/>
          <w:sz w:val="23"/>
          <w:szCs w:val="23"/>
        </w:rPr>
        <w:t xml:space="preserve">stopamo v obdobje, </w:t>
      </w:r>
      <w:r w:rsidR="007158DD" w:rsidRPr="00944307">
        <w:rPr>
          <w:rFonts w:asciiTheme="minorHAnsi" w:hAnsiTheme="minorHAnsi" w:cs="Times New Roman"/>
          <w:sz w:val="23"/>
          <w:szCs w:val="23"/>
        </w:rPr>
        <w:t xml:space="preserve">v katerem se </w:t>
      </w:r>
      <w:r w:rsidR="00127A3A" w:rsidRPr="00944307">
        <w:rPr>
          <w:rFonts w:asciiTheme="minorHAnsi" w:hAnsiTheme="minorHAnsi" w:cs="Times New Roman"/>
          <w:sz w:val="23"/>
          <w:szCs w:val="23"/>
        </w:rPr>
        <w:t xml:space="preserve">bo </w:t>
      </w:r>
      <w:r w:rsidR="00FB339A">
        <w:rPr>
          <w:rFonts w:asciiTheme="minorHAnsi" w:hAnsiTheme="minorHAnsi" w:cs="Times New Roman"/>
          <w:sz w:val="23"/>
          <w:szCs w:val="23"/>
        </w:rPr>
        <w:t xml:space="preserve">njihovo </w:t>
      </w:r>
      <w:r w:rsidR="00127A3A" w:rsidRPr="00944307">
        <w:rPr>
          <w:rFonts w:asciiTheme="minorHAnsi" w:hAnsiTheme="minorHAnsi" w:cs="Times New Roman"/>
          <w:sz w:val="23"/>
          <w:szCs w:val="23"/>
        </w:rPr>
        <w:t>število iz leta v leto naglo krčilo, kar bo trajalo kakšno desetletje</w:t>
      </w:r>
      <w:r w:rsidR="00B13576" w:rsidRPr="00944307">
        <w:rPr>
          <w:rFonts w:asciiTheme="minorHAnsi" w:hAnsiTheme="minorHAnsi" w:cs="Times New Roman"/>
          <w:sz w:val="23"/>
          <w:szCs w:val="23"/>
        </w:rPr>
        <w:t xml:space="preserve"> ali dve</w:t>
      </w:r>
      <w:r w:rsidR="00FB339A">
        <w:rPr>
          <w:rFonts w:asciiTheme="minorHAnsi" w:hAnsiTheme="minorHAnsi" w:cs="Times New Roman"/>
          <w:sz w:val="23"/>
          <w:szCs w:val="23"/>
        </w:rPr>
        <w:t>.</w:t>
      </w:r>
      <w:r w:rsidR="00127A3A" w:rsidRPr="00944307">
        <w:rPr>
          <w:rFonts w:asciiTheme="minorHAnsi" w:hAnsiTheme="minorHAnsi" w:cs="Times New Roman"/>
          <w:sz w:val="23"/>
          <w:szCs w:val="23"/>
        </w:rPr>
        <w:t xml:space="preserve"> </w:t>
      </w:r>
      <w:r w:rsidR="00FB339A">
        <w:rPr>
          <w:rFonts w:asciiTheme="minorHAnsi" w:hAnsiTheme="minorHAnsi" w:cs="Times New Roman"/>
          <w:sz w:val="23"/>
          <w:szCs w:val="23"/>
        </w:rPr>
        <w:t xml:space="preserve">S preostalim številom </w:t>
      </w:r>
      <w:r w:rsidR="00944307" w:rsidRPr="00944307">
        <w:rPr>
          <w:rFonts w:asciiTheme="minorHAnsi" w:hAnsiTheme="minorHAnsi" w:cs="Times New Roman"/>
          <w:sz w:val="23"/>
          <w:szCs w:val="23"/>
        </w:rPr>
        <w:t>duhovnikov ne bo mogoče vzdrževati »zgodovinsk</w:t>
      </w:r>
      <w:r w:rsidR="00316417">
        <w:rPr>
          <w:rFonts w:asciiTheme="minorHAnsi" w:hAnsiTheme="minorHAnsi" w:cs="Times New Roman"/>
          <w:sz w:val="23"/>
          <w:szCs w:val="23"/>
        </w:rPr>
        <w:t>e</w:t>
      </w:r>
      <w:r w:rsidR="00944307" w:rsidRPr="00944307">
        <w:rPr>
          <w:rFonts w:asciiTheme="minorHAnsi" w:hAnsiTheme="minorHAnsi" w:cs="Times New Roman"/>
          <w:sz w:val="23"/>
          <w:szCs w:val="23"/>
        </w:rPr>
        <w:t>« župnijsk</w:t>
      </w:r>
      <w:r w:rsidR="00316417">
        <w:rPr>
          <w:rFonts w:asciiTheme="minorHAnsi" w:hAnsiTheme="minorHAnsi" w:cs="Times New Roman"/>
          <w:sz w:val="23"/>
          <w:szCs w:val="23"/>
        </w:rPr>
        <w:t>e</w:t>
      </w:r>
      <w:r w:rsidR="00944307" w:rsidRPr="00944307">
        <w:rPr>
          <w:rFonts w:asciiTheme="minorHAnsi" w:hAnsiTheme="minorHAnsi" w:cs="Times New Roman"/>
          <w:sz w:val="23"/>
          <w:szCs w:val="23"/>
        </w:rPr>
        <w:t xml:space="preserve"> mrež</w:t>
      </w:r>
      <w:r w:rsidR="00316417">
        <w:rPr>
          <w:rFonts w:asciiTheme="minorHAnsi" w:hAnsiTheme="minorHAnsi" w:cs="Times New Roman"/>
          <w:sz w:val="23"/>
          <w:szCs w:val="23"/>
        </w:rPr>
        <w:t>e</w:t>
      </w:r>
      <w:r w:rsidR="00944307" w:rsidRPr="00944307">
        <w:rPr>
          <w:rFonts w:asciiTheme="minorHAnsi" w:hAnsiTheme="minorHAnsi" w:cs="Times New Roman"/>
          <w:sz w:val="23"/>
          <w:szCs w:val="23"/>
        </w:rPr>
        <w:t>, saj se bo v</w:t>
      </w:r>
      <w:r w:rsidR="00BF3F52" w:rsidRPr="00944307">
        <w:rPr>
          <w:rFonts w:asciiTheme="minorHAnsi" w:hAnsiTheme="minorHAnsi" w:cs="Times New Roman"/>
          <w:sz w:val="23"/>
          <w:szCs w:val="23"/>
        </w:rPr>
        <w:t xml:space="preserve"> tem obdobju število duhovnikov zmanjšalo za več kot tretjino</w:t>
      </w:r>
      <w:r w:rsidR="00766A88" w:rsidRPr="00944307">
        <w:rPr>
          <w:rFonts w:asciiTheme="minorHAnsi" w:hAnsiTheme="minorHAnsi" w:cs="Times New Roman"/>
          <w:sz w:val="23"/>
          <w:szCs w:val="23"/>
        </w:rPr>
        <w:t xml:space="preserve"> – trenutno pa je brez duhovnika že tretjina župnij</w:t>
      </w:r>
      <w:r w:rsidR="00127A3A" w:rsidRPr="00944307">
        <w:rPr>
          <w:rFonts w:asciiTheme="minorHAnsi" w:hAnsiTheme="minorHAnsi" w:cs="Times New Roman"/>
          <w:sz w:val="23"/>
          <w:szCs w:val="23"/>
        </w:rPr>
        <w:t>.</w:t>
      </w:r>
      <w:r w:rsidR="00BF3F52" w:rsidRPr="00944307">
        <w:rPr>
          <w:rFonts w:asciiTheme="minorHAnsi" w:hAnsiTheme="minorHAnsi" w:cs="Times New Roman"/>
          <w:sz w:val="23"/>
          <w:szCs w:val="23"/>
        </w:rPr>
        <w:t xml:space="preserve"> To bo za slovensko Cerkev, ki je stoletja svojo identiteto, strukturo in pastoralo gradila na duhovnikih, precejšen udarec. </w:t>
      </w:r>
    </w:p>
    <w:p w:rsidR="009F2D2B" w:rsidRDefault="00830599" w:rsidP="00A03A53">
      <w:pPr>
        <w:pStyle w:val="Telobesedila"/>
        <w:spacing w:line="276" w:lineRule="auto"/>
        <w:rPr>
          <w:rFonts w:asciiTheme="minorHAnsi" w:eastAsia="Calibri" w:hAnsiTheme="minorHAnsi" w:cs="Times New Roman"/>
          <w:sz w:val="23"/>
          <w:szCs w:val="23"/>
        </w:rPr>
      </w:pPr>
      <w:r w:rsidRPr="00944307">
        <w:rPr>
          <w:rFonts w:asciiTheme="minorHAnsi" w:eastAsia="Calibri-Italic" w:hAnsiTheme="minorHAnsi" w:cs="Calibri"/>
          <w:sz w:val="23"/>
          <w:szCs w:val="23"/>
        </w:rPr>
        <w:t xml:space="preserve">Koprski škof dr. Jurij Bizjak je </w:t>
      </w:r>
      <w:r w:rsidR="006532F9" w:rsidRPr="00944307">
        <w:rPr>
          <w:rFonts w:asciiTheme="minorHAnsi" w:eastAsia="Calibri-Italic" w:hAnsiTheme="minorHAnsi" w:cs="Calibri"/>
          <w:sz w:val="23"/>
          <w:szCs w:val="23"/>
        </w:rPr>
        <w:t xml:space="preserve">zato </w:t>
      </w:r>
      <w:r w:rsidR="00BA7536" w:rsidRPr="00944307">
        <w:rPr>
          <w:rFonts w:asciiTheme="minorHAnsi" w:eastAsia="Calibri-Italic" w:hAnsiTheme="minorHAnsi" w:cs="Calibri"/>
          <w:sz w:val="23"/>
          <w:szCs w:val="23"/>
        </w:rPr>
        <w:t xml:space="preserve">na veliki četrtek </w:t>
      </w:r>
      <w:r w:rsidRPr="00944307">
        <w:rPr>
          <w:rFonts w:asciiTheme="minorHAnsi" w:eastAsia="Calibri-Italic" w:hAnsiTheme="minorHAnsi" w:cs="Calibri"/>
          <w:sz w:val="23"/>
          <w:szCs w:val="23"/>
        </w:rPr>
        <w:t xml:space="preserve">že napovedal, </w:t>
      </w:r>
      <w:r w:rsidRPr="00944307">
        <w:rPr>
          <w:rFonts w:asciiTheme="minorHAnsi" w:hAnsiTheme="minorHAnsi" w:cs="Times New Roman"/>
          <w:sz w:val="23"/>
          <w:szCs w:val="23"/>
        </w:rPr>
        <w:t xml:space="preserve">da bo koprska škofija z novim letom izvedla obsežno reorganizacijo župnij v smislu ukinjanja oz. združitve župnij. </w:t>
      </w:r>
      <w:r w:rsidRPr="00944307">
        <w:rPr>
          <w:rFonts w:asciiTheme="minorHAnsi" w:eastAsia="Calibri" w:hAnsiTheme="minorHAnsi" w:cs="Times New Roman"/>
          <w:sz w:val="23"/>
          <w:szCs w:val="23"/>
        </w:rPr>
        <w:t xml:space="preserve">V večini primerov bo načrtovana sprememba samo uzakonila že obstoječe stanje. </w:t>
      </w:r>
      <w:r w:rsidRPr="00944307">
        <w:rPr>
          <w:rFonts w:asciiTheme="minorHAnsi" w:eastAsia="Calibri-Italic" w:hAnsiTheme="minorHAnsi" w:cs="Calibri"/>
          <w:sz w:val="23"/>
          <w:szCs w:val="23"/>
        </w:rPr>
        <w:t>Mariborska nadškofija, ki nima tako velikega števila malih župnij kot koprska škofija</w:t>
      </w:r>
      <w:r w:rsidR="006532F9" w:rsidRPr="00944307">
        <w:rPr>
          <w:rFonts w:asciiTheme="minorHAnsi" w:eastAsia="Calibri-Italic" w:hAnsiTheme="minorHAnsi" w:cs="Calibri"/>
          <w:sz w:val="23"/>
          <w:szCs w:val="23"/>
        </w:rPr>
        <w:t xml:space="preserve">, ima pa že sedaj </w:t>
      </w:r>
      <w:r w:rsidRPr="00944307">
        <w:rPr>
          <w:rFonts w:asciiTheme="minorHAnsi" w:eastAsia="Calibri-Italic" w:hAnsiTheme="minorHAnsi" w:cs="Calibri"/>
          <w:sz w:val="23"/>
          <w:szCs w:val="23"/>
        </w:rPr>
        <w:t xml:space="preserve">brez duhovnika tretjino župnij, vidi rešitev poleg </w:t>
      </w:r>
      <w:proofErr w:type="spellStart"/>
      <w:r w:rsidRPr="00944307">
        <w:rPr>
          <w:rFonts w:asciiTheme="minorHAnsi" w:eastAsia="Calibri-Italic" w:hAnsiTheme="minorHAnsi" w:cs="Calibri"/>
          <w:sz w:val="23"/>
          <w:szCs w:val="23"/>
        </w:rPr>
        <w:t>souprav</w:t>
      </w:r>
      <w:proofErr w:type="spellEnd"/>
      <w:r w:rsidRPr="00944307">
        <w:rPr>
          <w:rFonts w:asciiTheme="minorHAnsi" w:eastAsia="Calibri-Italic" w:hAnsiTheme="minorHAnsi" w:cs="Calibri"/>
          <w:sz w:val="23"/>
          <w:szCs w:val="23"/>
        </w:rPr>
        <w:t xml:space="preserve"> ter združenih župnij tudi v t.i. pastoralnih zvezah, kjer dva ali trije duhovniki skupaj upravljajo več župnij. Trenutno imajo dve takšni zvezi, v katerih je zajetih deset župnij. </w:t>
      </w:r>
      <w:r w:rsidR="002C6C68">
        <w:rPr>
          <w:rFonts w:asciiTheme="minorHAnsi" w:eastAsia="Calibri-Italic" w:hAnsiTheme="minorHAnsi" w:cs="Calibri"/>
          <w:sz w:val="23"/>
          <w:szCs w:val="23"/>
        </w:rPr>
        <w:t xml:space="preserve">Eno od mariborskih </w:t>
      </w:r>
      <w:r w:rsidR="002C6C68" w:rsidRPr="00230878">
        <w:rPr>
          <w:rFonts w:asciiTheme="minorHAnsi" w:eastAsia="Calibri-Italic" w:hAnsiTheme="minorHAnsi" w:cs="Calibri"/>
          <w:sz w:val="23"/>
          <w:szCs w:val="23"/>
        </w:rPr>
        <w:t xml:space="preserve">župnij pa </w:t>
      </w:r>
      <w:r w:rsidR="00B54987" w:rsidRPr="00230878">
        <w:rPr>
          <w:rFonts w:asciiTheme="minorHAnsi" w:eastAsia="Calibri-Italic" w:hAnsiTheme="minorHAnsi" w:cs="Calibri"/>
          <w:sz w:val="23"/>
          <w:szCs w:val="23"/>
        </w:rPr>
        <w:t>oskrbuje</w:t>
      </w:r>
      <w:r w:rsidR="002C6C68" w:rsidRPr="00230878">
        <w:rPr>
          <w:rFonts w:asciiTheme="minorHAnsi" w:eastAsia="Calibri-Italic" w:hAnsiTheme="minorHAnsi" w:cs="Calibri"/>
          <w:sz w:val="23"/>
          <w:szCs w:val="23"/>
        </w:rPr>
        <w:t xml:space="preserve"> že stalni diakon. </w:t>
      </w:r>
      <w:r w:rsidRPr="00230878">
        <w:rPr>
          <w:rFonts w:asciiTheme="minorHAnsi" w:eastAsia="Calibri-Italic" w:hAnsiTheme="minorHAnsi" w:cs="Calibri"/>
          <w:sz w:val="23"/>
          <w:szCs w:val="23"/>
        </w:rPr>
        <w:t xml:space="preserve">Ljubljanska nadškofija je pred leti skupaj z duhovniki že izoblikovala načrt, katere župnije lahko še gredo v </w:t>
      </w:r>
      <w:proofErr w:type="spellStart"/>
      <w:r w:rsidRPr="00230878">
        <w:rPr>
          <w:rFonts w:asciiTheme="minorHAnsi" w:eastAsia="Calibri-Italic" w:hAnsiTheme="minorHAnsi" w:cs="Calibri"/>
          <w:sz w:val="23"/>
          <w:szCs w:val="23"/>
        </w:rPr>
        <w:t>soupravo</w:t>
      </w:r>
      <w:proofErr w:type="spellEnd"/>
      <w:r w:rsidRPr="00230878">
        <w:rPr>
          <w:rFonts w:asciiTheme="minorHAnsi" w:eastAsia="Calibri-Italic" w:hAnsiTheme="minorHAnsi" w:cs="Calibri"/>
          <w:sz w:val="23"/>
          <w:szCs w:val="23"/>
        </w:rPr>
        <w:t>, oz. katere bi lahko združili</w:t>
      </w:r>
      <w:r w:rsidR="001F7C0E" w:rsidRPr="00230878">
        <w:rPr>
          <w:rFonts w:asciiTheme="minorHAnsi" w:eastAsia="Calibri-Italic" w:hAnsiTheme="minorHAnsi" w:cs="Calibri"/>
          <w:sz w:val="23"/>
          <w:szCs w:val="23"/>
        </w:rPr>
        <w:t xml:space="preserve"> …</w:t>
      </w:r>
      <w:r w:rsidRPr="00230878">
        <w:rPr>
          <w:rFonts w:asciiTheme="minorHAnsi" w:eastAsia="Calibri-Italic" w:hAnsiTheme="minorHAnsi" w:cs="Calibri"/>
          <w:sz w:val="23"/>
          <w:szCs w:val="23"/>
        </w:rPr>
        <w:t>. Vsaka župnija je namreč subjekt, ki ga je kot takega potrebno individualno reševati.</w:t>
      </w:r>
      <w:r w:rsidR="00C52AAA" w:rsidRPr="00230878">
        <w:rPr>
          <w:rFonts w:asciiTheme="minorHAnsi" w:eastAsia="Calibri" w:hAnsiTheme="minorHAnsi" w:cs="Times New Roman"/>
          <w:sz w:val="23"/>
          <w:szCs w:val="23"/>
        </w:rPr>
        <w:t xml:space="preserve"> </w:t>
      </w:r>
    </w:p>
    <w:p w:rsidR="00830599" w:rsidRDefault="002C6C68" w:rsidP="00A03A53">
      <w:pPr>
        <w:pStyle w:val="Telobesedila"/>
        <w:spacing w:line="276" w:lineRule="auto"/>
        <w:rPr>
          <w:rFonts w:asciiTheme="minorHAnsi" w:eastAsia="Calibri" w:hAnsiTheme="minorHAnsi" w:cs="Times New Roman"/>
          <w:sz w:val="23"/>
          <w:szCs w:val="23"/>
        </w:rPr>
      </w:pPr>
      <w:r w:rsidRPr="00230878">
        <w:rPr>
          <w:rFonts w:asciiTheme="minorHAnsi" w:eastAsia="Calibri" w:hAnsiTheme="minorHAnsi" w:cs="Times New Roman"/>
          <w:sz w:val="23"/>
          <w:szCs w:val="23"/>
        </w:rPr>
        <w:t xml:space="preserve">Vsi škofje poudarjajo, da ne bo ukinjena nobena župnija, ki je živa. Ukinjena bo le tista župnija, ki je že sama prenehala obstajati, </w:t>
      </w:r>
      <w:r w:rsidR="003446FD" w:rsidRPr="00230878">
        <w:rPr>
          <w:rFonts w:asciiTheme="minorHAnsi" w:eastAsia="Calibri" w:hAnsiTheme="minorHAnsi" w:cs="Times New Roman"/>
          <w:sz w:val="23"/>
          <w:szCs w:val="23"/>
        </w:rPr>
        <w:t>ker župljani niso poskrbeli za njeno živost, bodisi pri verouku, župnijskem pastoralnem svetu, pri bogoslužju ipd.</w:t>
      </w:r>
      <w:r w:rsidR="00FB339A" w:rsidRPr="00230878">
        <w:rPr>
          <w:rFonts w:asciiTheme="minorHAnsi" w:eastAsia="Calibri" w:hAnsiTheme="minorHAnsi" w:cs="Times New Roman"/>
          <w:sz w:val="23"/>
          <w:szCs w:val="23"/>
        </w:rPr>
        <w:t xml:space="preserve"> </w:t>
      </w:r>
      <w:r w:rsidR="003446FD" w:rsidRPr="00230878">
        <w:rPr>
          <w:rFonts w:asciiTheme="minorHAnsi" w:eastAsia="Calibri" w:hAnsiTheme="minorHAnsi" w:cs="Times New Roman"/>
          <w:sz w:val="23"/>
          <w:szCs w:val="23"/>
        </w:rPr>
        <w:t xml:space="preserve">S tem se odgovornost prenese na župljane. </w:t>
      </w:r>
      <w:r w:rsidR="00830599" w:rsidRPr="00230878">
        <w:rPr>
          <w:rFonts w:asciiTheme="minorHAnsi" w:eastAsia="Calibri" w:hAnsiTheme="minorHAnsi" w:cs="Times New Roman"/>
          <w:sz w:val="23"/>
          <w:szCs w:val="23"/>
        </w:rPr>
        <w:t xml:space="preserve">Ljudje duhovnika </w:t>
      </w:r>
      <w:r w:rsidR="00FB339A" w:rsidRPr="00230878">
        <w:rPr>
          <w:rFonts w:asciiTheme="minorHAnsi" w:eastAsia="Calibri" w:hAnsiTheme="minorHAnsi" w:cs="Times New Roman"/>
          <w:sz w:val="23"/>
          <w:szCs w:val="23"/>
        </w:rPr>
        <w:t xml:space="preserve">prepogosto </w:t>
      </w:r>
      <w:r w:rsidR="00830599" w:rsidRPr="00230878">
        <w:rPr>
          <w:rFonts w:asciiTheme="minorHAnsi" w:eastAsia="Calibri" w:hAnsiTheme="minorHAnsi" w:cs="Times New Roman"/>
          <w:sz w:val="23"/>
          <w:szCs w:val="23"/>
        </w:rPr>
        <w:t>želijo imeti povsod zraven. Pri marsičem</w:t>
      </w:r>
      <w:r w:rsidR="00BA7536" w:rsidRPr="00230878">
        <w:rPr>
          <w:rFonts w:asciiTheme="minorHAnsi" w:eastAsia="Calibri" w:hAnsiTheme="minorHAnsi" w:cs="Times New Roman"/>
          <w:sz w:val="23"/>
          <w:szCs w:val="23"/>
        </w:rPr>
        <w:t>, kar ni izključno</w:t>
      </w:r>
      <w:r w:rsidR="00BA7536" w:rsidRPr="00944307">
        <w:rPr>
          <w:rFonts w:asciiTheme="minorHAnsi" w:eastAsia="Calibri" w:hAnsiTheme="minorHAnsi" w:cs="Times New Roman"/>
          <w:sz w:val="23"/>
          <w:szCs w:val="23"/>
        </w:rPr>
        <w:t xml:space="preserve"> duhovnikovo delo,</w:t>
      </w:r>
      <w:r w:rsidR="00830599" w:rsidRPr="00944307">
        <w:rPr>
          <w:rFonts w:asciiTheme="minorHAnsi" w:eastAsia="Calibri" w:hAnsiTheme="minorHAnsi" w:cs="Times New Roman"/>
          <w:sz w:val="23"/>
          <w:szCs w:val="23"/>
        </w:rPr>
        <w:t xml:space="preserve"> bi </w:t>
      </w:r>
      <w:r w:rsidR="00316417">
        <w:rPr>
          <w:rFonts w:asciiTheme="minorHAnsi" w:eastAsia="Calibri" w:hAnsiTheme="minorHAnsi" w:cs="Times New Roman"/>
          <w:sz w:val="23"/>
          <w:szCs w:val="23"/>
        </w:rPr>
        <w:t>ga lahko</w:t>
      </w:r>
      <w:r w:rsidR="00830599" w:rsidRPr="00944307">
        <w:rPr>
          <w:rFonts w:asciiTheme="minorHAnsi" w:eastAsia="Calibri" w:hAnsiTheme="minorHAnsi" w:cs="Times New Roman"/>
          <w:sz w:val="23"/>
          <w:szCs w:val="23"/>
        </w:rPr>
        <w:t xml:space="preserve"> razbremenili </w:t>
      </w:r>
      <w:r w:rsidR="006532F9" w:rsidRPr="00944307">
        <w:rPr>
          <w:rFonts w:asciiTheme="minorHAnsi" w:eastAsia="Calibri" w:hAnsiTheme="minorHAnsi" w:cs="Times New Roman"/>
          <w:sz w:val="23"/>
          <w:szCs w:val="23"/>
        </w:rPr>
        <w:t>verniki</w:t>
      </w:r>
      <w:r w:rsidR="00BA7536" w:rsidRPr="00944307">
        <w:rPr>
          <w:rFonts w:asciiTheme="minorHAnsi" w:eastAsia="Calibri" w:hAnsiTheme="minorHAnsi" w:cs="Times New Roman"/>
          <w:sz w:val="23"/>
          <w:szCs w:val="23"/>
        </w:rPr>
        <w:t xml:space="preserve"> sami</w:t>
      </w:r>
      <w:r w:rsidR="00830599" w:rsidRPr="00944307">
        <w:rPr>
          <w:rFonts w:asciiTheme="minorHAnsi" w:eastAsia="Calibri" w:hAnsiTheme="minorHAnsi" w:cs="Times New Roman"/>
          <w:sz w:val="23"/>
          <w:szCs w:val="23"/>
        </w:rPr>
        <w:t>.</w:t>
      </w:r>
      <w:r w:rsidR="00830599" w:rsidRPr="00944307">
        <w:rPr>
          <w:rFonts w:asciiTheme="minorHAnsi" w:hAnsiTheme="minorHAnsi" w:cs="Times New Roman"/>
          <w:sz w:val="23"/>
          <w:szCs w:val="23"/>
        </w:rPr>
        <w:t xml:space="preserve"> Prihaja čas </w:t>
      </w:r>
      <w:r w:rsidR="00830599" w:rsidRPr="00944307">
        <w:rPr>
          <w:rFonts w:asciiTheme="minorHAnsi" w:eastAsia="Calibri" w:hAnsiTheme="minorHAnsi" w:cs="Times New Roman"/>
          <w:sz w:val="23"/>
          <w:szCs w:val="23"/>
        </w:rPr>
        <w:t xml:space="preserve">prebujanja </w:t>
      </w:r>
      <w:r w:rsidR="00830599" w:rsidRPr="00A03A53">
        <w:rPr>
          <w:rFonts w:asciiTheme="minorHAnsi" w:eastAsia="Calibri" w:hAnsiTheme="minorHAnsi" w:cs="Times New Roman"/>
          <w:sz w:val="23"/>
          <w:szCs w:val="23"/>
        </w:rPr>
        <w:t>karizem</w:t>
      </w:r>
      <w:r w:rsidR="00157BA0">
        <w:rPr>
          <w:rFonts w:asciiTheme="minorHAnsi" w:eastAsia="Calibri" w:hAnsiTheme="minorHAnsi" w:cs="Times New Roman"/>
          <w:sz w:val="23"/>
          <w:szCs w:val="23"/>
        </w:rPr>
        <w:t xml:space="preserve"> vseh vernikov</w:t>
      </w:r>
      <w:r w:rsidR="00830599" w:rsidRPr="00A03A53">
        <w:rPr>
          <w:rFonts w:asciiTheme="minorHAnsi" w:eastAsia="Calibri" w:hAnsiTheme="minorHAnsi" w:cs="Times New Roman"/>
          <w:sz w:val="23"/>
          <w:szCs w:val="23"/>
        </w:rPr>
        <w:t xml:space="preserve">. </w:t>
      </w:r>
      <w:r w:rsidR="00BA7536" w:rsidRPr="00A03A53">
        <w:rPr>
          <w:rFonts w:asciiTheme="minorHAnsi" w:eastAsia="Calibri" w:hAnsiTheme="minorHAnsi" w:cs="Times New Roman"/>
          <w:sz w:val="23"/>
          <w:szCs w:val="23"/>
        </w:rPr>
        <w:t xml:space="preserve">Karizma je dar, </w:t>
      </w:r>
      <w:r w:rsidR="00A03A53" w:rsidRPr="00A03A53">
        <w:rPr>
          <w:rFonts w:asciiTheme="minorHAnsi" w:eastAsia="Calibri" w:hAnsiTheme="minorHAnsi" w:cs="Times New Roman"/>
          <w:sz w:val="23"/>
          <w:szCs w:val="23"/>
        </w:rPr>
        <w:t>ki nam ga je Bog dal</w:t>
      </w:r>
      <w:r w:rsidR="00316417">
        <w:rPr>
          <w:rFonts w:asciiTheme="minorHAnsi" w:eastAsia="Calibri" w:hAnsiTheme="minorHAnsi" w:cs="Times New Roman"/>
          <w:sz w:val="23"/>
          <w:szCs w:val="23"/>
        </w:rPr>
        <w:t>,</w:t>
      </w:r>
      <w:r w:rsidR="00A03A53" w:rsidRPr="00A03A53">
        <w:rPr>
          <w:rFonts w:asciiTheme="minorHAnsi" w:eastAsia="Calibri" w:hAnsiTheme="minorHAnsi" w:cs="Times New Roman"/>
          <w:sz w:val="23"/>
          <w:szCs w:val="23"/>
        </w:rPr>
        <w:t xml:space="preserve"> ne za nas same, </w:t>
      </w:r>
      <w:r w:rsidR="00BA7536" w:rsidRPr="00A03A53">
        <w:rPr>
          <w:rFonts w:asciiTheme="minorHAnsi" w:eastAsia="Calibri" w:hAnsiTheme="minorHAnsi" w:cs="Times New Roman"/>
          <w:sz w:val="23"/>
          <w:szCs w:val="23"/>
        </w:rPr>
        <w:t>ampak</w:t>
      </w:r>
      <w:r w:rsidR="00A03A53" w:rsidRPr="00A03A53">
        <w:rPr>
          <w:rFonts w:asciiTheme="minorHAnsi" w:eastAsia="Calibri" w:hAnsiTheme="minorHAnsi" w:cs="Times New Roman"/>
          <w:sz w:val="23"/>
          <w:szCs w:val="23"/>
        </w:rPr>
        <w:t xml:space="preserve"> da bi ga dali na</w:t>
      </w:r>
      <w:r w:rsidR="00A03A53">
        <w:rPr>
          <w:rFonts w:asciiTheme="minorHAnsi" w:eastAsia="Calibri" w:hAnsiTheme="minorHAnsi" w:cs="Times New Roman"/>
          <w:sz w:val="23"/>
          <w:szCs w:val="23"/>
        </w:rPr>
        <w:t xml:space="preserve"> razpolago za služenje drugim</w:t>
      </w:r>
      <w:r w:rsidR="00BA7536" w:rsidRPr="00944307">
        <w:rPr>
          <w:rFonts w:asciiTheme="minorHAnsi" w:eastAsia="Calibri" w:hAnsiTheme="minorHAnsi" w:cs="Times New Roman"/>
          <w:sz w:val="23"/>
          <w:szCs w:val="23"/>
        </w:rPr>
        <w:t xml:space="preserve">. </w:t>
      </w:r>
      <w:r w:rsidR="001F7C0E">
        <w:rPr>
          <w:rFonts w:asciiTheme="minorHAnsi" w:eastAsia="Calibri" w:hAnsiTheme="minorHAnsi" w:cs="Times New Roman"/>
          <w:sz w:val="23"/>
          <w:szCs w:val="23"/>
        </w:rPr>
        <w:t xml:space="preserve">Prihaja čas, ko bo </w:t>
      </w:r>
      <w:r w:rsidR="00A03A53" w:rsidRPr="00944307">
        <w:rPr>
          <w:rFonts w:asciiTheme="minorHAnsi" w:eastAsia="Calibri" w:hAnsiTheme="minorHAnsi" w:cs="Times New Roman"/>
          <w:sz w:val="23"/>
          <w:szCs w:val="23"/>
        </w:rPr>
        <w:t>Cerkev zaživela v majhnih občestvih</w:t>
      </w:r>
      <w:r w:rsidR="00A03A53">
        <w:rPr>
          <w:rFonts w:eastAsia="Calibri" w:cs="Times New Roman"/>
          <w:sz w:val="23"/>
          <w:szCs w:val="23"/>
        </w:rPr>
        <w:t>.</w:t>
      </w:r>
      <w:r w:rsidR="00A03A53" w:rsidRPr="00944307">
        <w:rPr>
          <w:rFonts w:eastAsia="Calibri" w:cs="Times New Roman"/>
          <w:sz w:val="23"/>
          <w:szCs w:val="23"/>
        </w:rPr>
        <w:t xml:space="preserve"> </w:t>
      </w:r>
      <w:r w:rsidR="00830599" w:rsidRPr="00944307">
        <w:rPr>
          <w:rFonts w:asciiTheme="minorHAnsi" w:eastAsia="Calibri" w:hAnsiTheme="minorHAnsi" w:cs="Times New Roman"/>
          <w:sz w:val="23"/>
          <w:szCs w:val="23"/>
        </w:rPr>
        <w:t xml:space="preserve">Čas je, da se ob pogledu na vernost poslovimo od t. i. »še sindroma«, ko </w:t>
      </w:r>
      <w:r w:rsidR="00BA7536" w:rsidRPr="00944307">
        <w:rPr>
          <w:rFonts w:asciiTheme="minorHAnsi" w:eastAsia="Calibri" w:hAnsiTheme="minorHAnsi" w:cs="Times New Roman"/>
          <w:sz w:val="23"/>
          <w:szCs w:val="23"/>
        </w:rPr>
        <w:t xml:space="preserve">vsako leto </w:t>
      </w:r>
      <w:r w:rsidR="00830599" w:rsidRPr="00944307">
        <w:rPr>
          <w:rFonts w:asciiTheme="minorHAnsi" w:eastAsia="Calibri" w:hAnsiTheme="minorHAnsi" w:cs="Times New Roman"/>
          <w:sz w:val="23"/>
          <w:szCs w:val="23"/>
        </w:rPr>
        <w:t xml:space="preserve">ugotavljamo »samo še« toliko ljudi veruje, </w:t>
      </w:r>
      <w:r w:rsidR="006532F9" w:rsidRPr="00944307">
        <w:rPr>
          <w:rFonts w:asciiTheme="minorHAnsi" w:eastAsia="Calibri" w:hAnsiTheme="minorHAnsi" w:cs="Times New Roman"/>
          <w:sz w:val="23"/>
          <w:szCs w:val="23"/>
        </w:rPr>
        <w:t>»</w:t>
      </w:r>
      <w:r w:rsidR="00830599" w:rsidRPr="00944307">
        <w:rPr>
          <w:rFonts w:asciiTheme="minorHAnsi" w:eastAsia="Calibri" w:hAnsiTheme="minorHAnsi" w:cs="Times New Roman"/>
          <w:sz w:val="23"/>
          <w:szCs w:val="23"/>
        </w:rPr>
        <w:t>samo še</w:t>
      </w:r>
      <w:r w:rsidR="006532F9" w:rsidRPr="00944307">
        <w:rPr>
          <w:rFonts w:asciiTheme="minorHAnsi" w:eastAsia="Calibri" w:hAnsiTheme="minorHAnsi" w:cs="Times New Roman"/>
          <w:sz w:val="23"/>
          <w:szCs w:val="23"/>
        </w:rPr>
        <w:t>«</w:t>
      </w:r>
      <w:r w:rsidR="00830599" w:rsidRPr="00944307">
        <w:rPr>
          <w:rFonts w:asciiTheme="minorHAnsi" w:eastAsia="Calibri" w:hAnsiTheme="minorHAnsi" w:cs="Times New Roman"/>
          <w:sz w:val="23"/>
          <w:szCs w:val="23"/>
        </w:rPr>
        <w:t xml:space="preserve"> toliko župnij ima duhovnika … Imeti je treba pozitiven pogled na vero. Danes je pomembna osebna odločitev posameznika, da želi hoditi za Kristusom ter oblikovanje </w:t>
      </w:r>
      <w:r w:rsidR="00C52AAA" w:rsidRPr="00944307">
        <w:rPr>
          <w:rFonts w:asciiTheme="minorHAnsi" w:eastAsia="Calibri" w:hAnsiTheme="minorHAnsi" w:cs="Times New Roman"/>
          <w:sz w:val="23"/>
          <w:szCs w:val="23"/>
        </w:rPr>
        <w:t xml:space="preserve">malih </w:t>
      </w:r>
      <w:r w:rsidR="00830599" w:rsidRPr="00944307">
        <w:rPr>
          <w:rFonts w:asciiTheme="minorHAnsi" w:eastAsia="Calibri" w:hAnsiTheme="minorHAnsi" w:cs="Times New Roman"/>
          <w:sz w:val="23"/>
          <w:szCs w:val="23"/>
        </w:rPr>
        <w:t>občestev, ki so nekakšna »žareča središča«, v katerih se verniki zbira</w:t>
      </w:r>
      <w:r w:rsidR="00FB339A">
        <w:rPr>
          <w:rFonts w:asciiTheme="minorHAnsi" w:eastAsia="Calibri" w:hAnsiTheme="minorHAnsi" w:cs="Times New Roman"/>
          <w:sz w:val="23"/>
          <w:szCs w:val="23"/>
        </w:rPr>
        <w:t>m</w:t>
      </w:r>
      <w:r w:rsidR="00830599" w:rsidRPr="00944307">
        <w:rPr>
          <w:rFonts w:asciiTheme="minorHAnsi" w:eastAsia="Calibri" w:hAnsiTheme="minorHAnsi" w:cs="Times New Roman"/>
          <w:sz w:val="23"/>
          <w:szCs w:val="23"/>
        </w:rPr>
        <w:t>o in podpira</w:t>
      </w:r>
      <w:r w:rsidR="00FB339A">
        <w:rPr>
          <w:rFonts w:asciiTheme="minorHAnsi" w:eastAsia="Calibri" w:hAnsiTheme="minorHAnsi" w:cs="Times New Roman"/>
          <w:sz w:val="23"/>
          <w:szCs w:val="23"/>
        </w:rPr>
        <w:t>m</w:t>
      </w:r>
      <w:r w:rsidR="00830599" w:rsidRPr="00944307">
        <w:rPr>
          <w:rFonts w:asciiTheme="minorHAnsi" w:eastAsia="Calibri" w:hAnsiTheme="minorHAnsi" w:cs="Times New Roman"/>
          <w:sz w:val="23"/>
          <w:szCs w:val="23"/>
        </w:rPr>
        <w:t xml:space="preserve">o v verskem življenju. </w:t>
      </w:r>
      <w:r w:rsidR="00A03A53" w:rsidRPr="00944307">
        <w:rPr>
          <w:rFonts w:asciiTheme="minorHAnsi" w:eastAsia="Calibri" w:hAnsiTheme="minorHAnsi" w:cs="Times New Roman"/>
          <w:sz w:val="23"/>
          <w:szCs w:val="23"/>
        </w:rPr>
        <w:t>Kljub manjšemu številu duhovnikov</w:t>
      </w:r>
      <w:r>
        <w:rPr>
          <w:rFonts w:asciiTheme="minorHAnsi" w:eastAsia="Calibri" w:hAnsiTheme="minorHAnsi" w:cs="Times New Roman"/>
          <w:sz w:val="23"/>
          <w:szCs w:val="23"/>
        </w:rPr>
        <w:t xml:space="preserve">, </w:t>
      </w:r>
      <w:r w:rsidR="00AB7743">
        <w:rPr>
          <w:rFonts w:asciiTheme="minorHAnsi" w:eastAsia="Calibri" w:hAnsiTheme="minorHAnsi" w:cs="Times New Roman"/>
          <w:sz w:val="23"/>
          <w:szCs w:val="23"/>
        </w:rPr>
        <w:t>upam, da n</w:t>
      </w:r>
      <w:r w:rsidR="00FB339A">
        <w:rPr>
          <w:rFonts w:asciiTheme="minorHAnsi" w:eastAsia="Calibri" w:hAnsiTheme="minorHAnsi" w:cs="Times New Roman"/>
          <w:sz w:val="23"/>
          <w:szCs w:val="23"/>
        </w:rPr>
        <w:t>e bo u</w:t>
      </w:r>
      <w:r w:rsidR="00157BA0">
        <w:rPr>
          <w:rFonts w:asciiTheme="minorHAnsi" w:eastAsia="Calibri" w:hAnsiTheme="minorHAnsi" w:cs="Times New Roman"/>
          <w:sz w:val="23"/>
          <w:szCs w:val="23"/>
        </w:rPr>
        <w:t xml:space="preserve">kinjeno </w:t>
      </w:r>
      <w:r w:rsidR="00A03A53" w:rsidRPr="00944307">
        <w:rPr>
          <w:rFonts w:asciiTheme="minorHAnsi" w:eastAsia="Calibri" w:hAnsiTheme="minorHAnsi" w:cs="Times New Roman"/>
          <w:sz w:val="23"/>
          <w:szCs w:val="23"/>
        </w:rPr>
        <w:t>noben</w:t>
      </w:r>
      <w:r w:rsidR="00157BA0">
        <w:rPr>
          <w:rFonts w:asciiTheme="minorHAnsi" w:eastAsia="Calibri" w:hAnsiTheme="minorHAnsi" w:cs="Times New Roman"/>
          <w:sz w:val="23"/>
          <w:szCs w:val="23"/>
        </w:rPr>
        <w:t>o</w:t>
      </w:r>
      <w:r w:rsidR="00A03A53" w:rsidRPr="00944307">
        <w:rPr>
          <w:rFonts w:asciiTheme="minorHAnsi" w:eastAsia="Calibri" w:hAnsiTheme="minorHAnsi" w:cs="Times New Roman"/>
          <w:sz w:val="23"/>
          <w:szCs w:val="23"/>
        </w:rPr>
        <w:t xml:space="preserve"> evharističn</w:t>
      </w:r>
      <w:r w:rsidR="00157BA0">
        <w:rPr>
          <w:rFonts w:asciiTheme="minorHAnsi" w:eastAsia="Calibri" w:hAnsiTheme="minorHAnsi" w:cs="Times New Roman"/>
          <w:sz w:val="23"/>
          <w:szCs w:val="23"/>
        </w:rPr>
        <w:t>o</w:t>
      </w:r>
      <w:r w:rsidR="00A03A53" w:rsidRPr="00944307">
        <w:rPr>
          <w:rFonts w:asciiTheme="minorHAnsi" w:eastAsia="Calibri" w:hAnsiTheme="minorHAnsi" w:cs="Times New Roman"/>
          <w:sz w:val="23"/>
          <w:szCs w:val="23"/>
        </w:rPr>
        <w:t xml:space="preserve"> občestv</w:t>
      </w:r>
      <w:r w:rsidR="00157BA0">
        <w:rPr>
          <w:rFonts w:asciiTheme="minorHAnsi" w:eastAsia="Calibri" w:hAnsiTheme="minorHAnsi" w:cs="Times New Roman"/>
          <w:sz w:val="23"/>
          <w:szCs w:val="23"/>
        </w:rPr>
        <w:t>o</w:t>
      </w:r>
      <w:r w:rsidR="00A03A53">
        <w:rPr>
          <w:rFonts w:asciiTheme="minorHAnsi" w:eastAsia="Calibri" w:hAnsiTheme="minorHAnsi" w:cs="Times New Roman"/>
          <w:sz w:val="23"/>
          <w:szCs w:val="23"/>
        </w:rPr>
        <w:t>.</w:t>
      </w:r>
    </w:p>
    <w:p w:rsidR="006547C0" w:rsidRDefault="006547C0" w:rsidP="00A03A53">
      <w:pPr>
        <w:pStyle w:val="Telobesedila"/>
        <w:spacing w:line="276" w:lineRule="auto"/>
        <w:rPr>
          <w:rFonts w:asciiTheme="minorHAnsi" w:eastAsia="Calibri" w:hAnsiTheme="minorHAnsi" w:cs="Times New Roman"/>
          <w:sz w:val="23"/>
          <w:szCs w:val="23"/>
        </w:rPr>
      </w:pPr>
    </w:p>
    <w:p w:rsidR="003446FD" w:rsidRDefault="003446FD" w:rsidP="00A03A53">
      <w:pPr>
        <w:pStyle w:val="Telobesedila"/>
        <w:spacing w:line="276" w:lineRule="auto"/>
        <w:rPr>
          <w:rFonts w:asciiTheme="minorHAnsi" w:eastAsia="Calibri" w:hAnsiTheme="minorHAnsi" w:cs="Times New Roman"/>
          <w:sz w:val="23"/>
          <w:szCs w:val="23"/>
        </w:rPr>
      </w:pPr>
    </w:p>
    <w:p w:rsidR="00DC1ACB" w:rsidRDefault="00DC1ACB" w:rsidP="00A03A53">
      <w:pPr>
        <w:pStyle w:val="Telobesedila"/>
        <w:spacing w:line="276" w:lineRule="auto"/>
        <w:rPr>
          <w:rFonts w:asciiTheme="minorHAnsi" w:eastAsia="Calibri" w:hAnsiTheme="minorHAnsi" w:cs="Times New Roman"/>
          <w:sz w:val="23"/>
          <w:szCs w:val="23"/>
        </w:rPr>
      </w:pPr>
    </w:p>
    <w:p w:rsidR="006532F9" w:rsidRPr="006532F9" w:rsidRDefault="006532F9" w:rsidP="00830599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3"/>
          <w:szCs w:val="23"/>
        </w:rPr>
      </w:pPr>
    </w:p>
    <w:p w:rsidR="002E5FBC" w:rsidRPr="006532F9" w:rsidRDefault="002E5FBC" w:rsidP="003B6ED7">
      <w:pPr>
        <w:spacing w:after="0"/>
        <w:rPr>
          <w:rFonts w:eastAsia="Times New Roman" w:cs="Arial"/>
          <w:b/>
          <w:bCs/>
          <w:sz w:val="23"/>
          <w:szCs w:val="23"/>
          <w:lang w:eastAsia="sl-SI"/>
        </w:rPr>
      </w:pPr>
    </w:p>
    <w:p w:rsidR="002E5FBC" w:rsidRPr="006532F9" w:rsidRDefault="002E5FBC" w:rsidP="003B6ED7">
      <w:pPr>
        <w:spacing w:after="0"/>
        <w:rPr>
          <w:rFonts w:eastAsia="Times New Roman" w:cs="Arial"/>
          <w:b/>
          <w:bCs/>
          <w:sz w:val="23"/>
          <w:szCs w:val="23"/>
          <w:lang w:eastAsia="sl-SI"/>
        </w:rPr>
      </w:pPr>
    </w:p>
    <w:p w:rsidR="002E5FBC" w:rsidRDefault="002E5FBC" w:rsidP="003B6ED7">
      <w:pPr>
        <w:spacing w:after="0"/>
        <w:rPr>
          <w:rFonts w:eastAsia="Times New Roman" w:cs="Arial"/>
          <w:b/>
          <w:bCs/>
          <w:sz w:val="23"/>
          <w:szCs w:val="23"/>
          <w:lang w:eastAsia="sl-SI"/>
        </w:rPr>
      </w:pPr>
    </w:p>
    <w:sectPr w:rsidR="002E5FBC" w:rsidSect="00EF25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77" w:rsidRDefault="00065A77" w:rsidP="004D1140">
      <w:pPr>
        <w:spacing w:after="0" w:line="240" w:lineRule="auto"/>
      </w:pPr>
      <w:r>
        <w:separator/>
      </w:r>
    </w:p>
  </w:endnote>
  <w:endnote w:type="continuationSeparator" w:id="0">
    <w:p w:rsidR="00065A77" w:rsidRDefault="00065A77" w:rsidP="004D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54301"/>
      <w:docPartObj>
        <w:docPartGallery w:val="Page Numbers (Bottom of Page)"/>
        <w:docPartUnique/>
      </w:docPartObj>
    </w:sdtPr>
    <w:sdtContent>
      <w:p w:rsidR="000019E6" w:rsidRDefault="00457B12">
        <w:pPr>
          <w:pStyle w:val="Noga"/>
          <w:jc w:val="center"/>
        </w:pPr>
        <w:fldSimple w:instr=" PAGE   \* MERGEFORMAT ">
          <w:r w:rsidR="000E3E6A">
            <w:rPr>
              <w:noProof/>
            </w:rPr>
            <w:t>1</w:t>
          </w:r>
        </w:fldSimple>
      </w:p>
    </w:sdtContent>
  </w:sdt>
  <w:p w:rsidR="000019E6" w:rsidRDefault="000019E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77" w:rsidRDefault="00065A77" w:rsidP="004D1140">
      <w:pPr>
        <w:spacing w:after="0" w:line="240" w:lineRule="auto"/>
      </w:pPr>
      <w:r>
        <w:separator/>
      </w:r>
    </w:p>
  </w:footnote>
  <w:footnote w:type="continuationSeparator" w:id="0">
    <w:p w:rsidR="00065A77" w:rsidRDefault="00065A77" w:rsidP="004D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958"/>
    <w:multiLevelType w:val="hybridMultilevel"/>
    <w:tmpl w:val="E9D8AD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528C7"/>
    <w:multiLevelType w:val="hybridMultilevel"/>
    <w:tmpl w:val="262E235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84C0B"/>
    <w:multiLevelType w:val="multilevel"/>
    <w:tmpl w:val="33E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A0572"/>
    <w:multiLevelType w:val="multilevel"/>
    <w:tmpl w:val="210C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35581"/>
    <w:multiLevelType w:val="hybridMultilevel"/>
    <w:tmpl w:val="9ABA7668"/>
    <w:lvl w:ilvl="0" w:tplc="FD4CF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F3A93"/>
    <w:multiLevelType w:val="hybridMultilevel"/>
    <w:tmpl w:val="9A4E1BD2"/>
    <w:lvl w:ilvl="0" w:tplc="FD4CF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A2286"/>
    <w:multiLevelType w:val="hybridMultilevel"/>
    <w:tmpl w:val="70805C64"/>
    <w:lvl w:ilvl="0" w:tplc="F4527A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6D0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639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77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2DE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AC3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433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E70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EA5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F2B57"/>
    <w:multiLevelType w:val="hybridMultilevel"/>
    <w:tmpl w:val="C2BC3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5D9"/>
    <w:rsid w:val="000019E6"/>
    <w:rsid w:val="00005E57"/>
    <w:rsid w:val="00022F24"/>
    <w:rsid w:val="00023C1A"/>
    <w:rsid w:val="00035000"/>
    <w:rsid w:val="0004351F"/>
    <w:rsid w:val="00045986"/>
    <w:rsid w:val="0004796B"/>
    <w:rsid w:val="000565E0"/>
    <w:rsid w:val="00065A77"/>
    <w:rsid w:val="00072C59"/>
    <w:rsid w:val="00083AB5"/>
    <w:rsid w:val="000870A4"/>
    <w:rsid w:val="000A30A2"/>
    <w:rsid w:val="000C2C74"/>
    <w:rsid w:val="000C6F60"/>
    <w:rsid w:val="000D5555"/>
    <w:rsid w:val="000E1254"/>
    <w:rsid w:val="000E3E6A"/>
    <w:rsid w:val="00123C1A"/>
    <w:rsid w:val="00127A3A"/>
    <w:rsid w:val="00134528"/>
    <w:rsid w:val="0013517C"/>
    <w:rsid w:val="00150C85"/>
    <w:rsid w:val="00154678"/>
    <w:rsid w:val="00157BA0"/>
    <w:rsid w:val="001A456C"/>
    <w:rsid w:val="001A46B2"/>
    <w:rsid w:val="001B33F7"/>
    <w:rsid w:val="001B39D8"/>
    <w:rsid w:val="001B3D54"/>
    <w:rsid w:val="001B4781"/>
    <w:rsid w:val="001D22CE"/>
    <w:rsid w:val="001F4277"/>
    <w:rsid w:val="001F7C0E"/>
    <w:rsid w:val="001F7EDC"/>
    <w:rsid w:val="00203E8D"/>
    <w:rsid w:val="00206835"/>
    <w:rsid w:val="0020705B"/>
    <w:rsid w:val="00214D22"/>
    <w:rsid w:val="00215216"/>
    <w:rsid w:val="002235D9"/>
    <w:rsid w:val="00226B02"/>
    <w:rsid w:val="00226EE7"/>
    <w:rsid w:val="00230878"/>
    <w:rsid w:val="00251442"/>
    <w:rsid w:val="002619F0"/>
    <w:rsid w:val="00261FB7"/>
    <w:rsid w:val="0028111C"/>
    <w:rsid w:val="002824F2"/>
    <w:rsid w:val="0029491D"/>
    <w:rsid w:val="002971DD"/>
    <w:rsid w:val="002B181F"/>
    <w:rsid w:val="002C4420"/>
    <w:rsid w:val="002C541A"/>
    <w:rsid w:val="002C6C68"/>
    <w:rsid w:val="002E5FBC"/>
    <w:rsid w:val="002F646A"/>
    <w:rsid w:val="003019F0"/>
    <w:rsid w:val="0030615A"/>
    <w:rsid w:val="00310634"/>
    <w:rsid w:val="00316417"/>
    <w:rsid w:val="00327DF2"/>
    <w:rsid w:val="003405EA"/>
    <w:rsid w:val="00341FA2"/>
    <w:rsid w:val="003446FD"/>
    <w:rsid w:val="00354B41"/>
    <w:rsid w:val="00363011"/>
    <w:rsid w:val="003663A0"/>
    <w:rsid w:val="0037137F"/>
    <w:rsid w:val="003752C2"/>
    <w:rsid w:val="003907C1"/>
    <w:rsid w:val="0039565C"/>
    <w:rsid w:val="003A7DDE"/>
    <w:rsid w:val="003B68D1"/>
    <w:rsid w:val="003B6ED7"/>
    <w:rsid w:val="003C7108"/>
    <w:rsid w:val="003D03CC"/>
    <w:rsid w:val="003F267A"/>
    <w:rsid w:val="003F3119"/>
    <w:rsid w:val="003F45FD"/>
    <w:rsid w:val="004166B4"/>
    <w:rsid w:val="00437B25"/>
    <w:rsid w:val="00442429"/>
    <w:rsid w:val="00444749"/>
    <w:rsid w:val="00445ABE"/>
    <w:rsid w:val="00457B12"/>
    <w:rsid w:val="004618BB"/>
    <w:rsid w:val="00467887"/>
    <w:rsid w:val="0047101B"/>
    <w:rsid w:val="004734A9"/>
    <w:rsid w:val="00473FE5"/>
    <w:rsid w:val="00481EFE"/>
    <w:rsid w:val="00497567"/>
    <w:rsid w:val="004A3F94"/>
    <w:rsid w:val="004B65B4"/>
    <w:rsid w:val="004D1140"/>
    <w:rsid w:val="004D1147"/>
    <w:rsid w:val="004E17BA"/>
    <w:rsid w:val="004E7102"/>
    <w:rsid w:val="004F18BA"/>
    <w:rsid w:val="0052244B"/>
    <w:rsid w:val="005244D8"/>
    <w:rsid w:val="00526D1F"/>
    <w:rsid w:val="00537CC1"/>
    <w:rsid w:val="005473D3"/>
    <w:rsid w:val="00561464"/>
    <w:rsid w:val="005659C5"/>
    <w:rsid w:val="00566FDA"/>
    <w:rsid w:val="00572CF9"/>
    <w:rsid w:val="00576C3B"/>
    <w:rsid w:val="00576CEE"/>
    <w:rsid w:val="005A2A38"/>
    <w:rsid w:val="005B7775"/>
    <w:rsid w:val="005C5AF8"/>
    <w:rsid w:val="005C6507"/>
    <w:rsid w:val="005F28EF"/>
    <w:rsid w:val="005F2DBE"/>
    <w:rsid w:val="006154D1"/>
    <w:rsid w:val="006346C7"/>
    <w:rsid w:val="00640457"/>
    <w:rsid w:val="0064144D"/>
    <w:rsid w:val="006532F9"/>
    <w:rsid w:val="006547C0"/>
    <w:rsid w:val="0065509A"/>
    <w:rsid w:val="006654EF"/>
    <w:rsid w:val="006912FB"/>
    <w:rsid w:val="00697D19"/>
    <w:rsid w:val="006A0AF5"/>
    <w:rsid w:val="006A3425"/>
    <w:rsid w:val="006B037A"/>
    <w:rsid w:val="006B51FE"/>
    <w:rsid w:val="006E120F"/>
    <w:rsid w:val="006E716B"/>
    <w:rsid w:val="006F4ED0"/>
    <w:rsid w:val="006F5CF4"/>
    <w:rsid w:val="006F6677"/>
    <w:rsid w:val="007007D2"/>
    <w:rsid w:val="007158DD"/>
    <w:rsid w:val="0072052B"/>
    <w:rsid w:val="00746512"/>
    <w:rsid w:val="00751AD5"/>
    <w:rsid w:val="00766A88"/>
    <w:rsid w:val="0077477C"/>
    <w:rsid w:val="007A30B3"/>
    <w:rsid w:val="007A64AD"/>
    <w:rsid w:val="007B1918"/>
    <w:rsid w:val="007B7033"/>
    <w:rsid w:val="007C04EE"/>
    <w:rsid w:val="007C2CB9"/>
    <w:rsid w:val="007C74B2"/>
    <w:rsid w:val="007D4040"/>
    <w:rsid w:val="007E4692"/>
    <w:rsid w:val="007E49F0"/>
    <w:rsid w:val="007E5EA0"/>
    <w:rsid w:val="007F342D"/>
    <w:rsid w:val="00800735"/>
    <w:rsid w:val="00800E98"/>
    <w:rsid w:val="00803397"/>
    <w:rsid w:val="00822461"/>
    <w:rsid w:val="0082310A"/>
    <w:rsid w:val="00830599"/>
    <w:rsid w:val="00840FF7"/>
    <w:rsid w:val="00843C7D"/>
    <w:rsid w:val="0084668D"/>
    <w:rsid w:val="00846FC2"/>
    <w:rsid w:val="00853DB0"/>
    <w:rsid w:val="00871348"/>
    <w:rsid w:val="0087135F"/>
    <w:rsid w:val="00872C58"/>
    <w:rsid w:val="00873DB3"/>
    <w:rsid w:val="0088065B"/>
    <w:rsid w:val="0089344B"/>
    <w:rsid w:val="008B20BD"/>
    <w:rsid w:val="008B4A81"/>
    <w:rsid w:val="008B6F62"/>
    <w:rsid w:val="008C108E"/>
    <w:rsid w:val="008C15EA"/>
    <w:rsid w:val="008C2039"/>
    <w:rsid w:val="008C3C8C"/>
    <w:rsid w:val="008E1A00"/>
    <w:rsid w:val="008F05CF"/>
    <w:rsid w:val="009022AC"/>
    <w:rsid w:val="00912C43"/>
    <w:rsid w:val="00913B62"/>
    <w:rsid w:val="00942EBD"/>
    <w:rsid w:val="00944307"/>
    <w:rsid w:val="00947707"/>
    <w:rsid w:val="00955B08"/>
    <w:rsid w:val="009622F8"/>
    <w:rsid w:val="00964306"/>
    <w:rsid w:val="00966C2F"/>
    <w:rsid w:val="00966F01"/>
    <w:rsid w:val="00967FBB"/>
    <w:rsid w:val="00976223"/>
    <w:rsid w:val="0099213E"/>
    <w:rsid w:val="00994843"/>
    <w:rsid w:val="009A4CAF"/>
    <w:rsid w:val="009B3F82"/>
    <w:rsid w:val="009C5F85"/>
    <w:rsid w:val="009D3E8A"/>
    <w:rsid w:val="009D4310"/>
    <w:rsid w:val="009E25EE"/>
    <w:rsid w:val="009F2C1B"/>
    <w:rsid w:val="009F2D2B"/>
    <w:rsid w:val="00A03A53"/>
    <w:rsid w:val="00A44CEA"/>
    <w:rsid w:val="00A570D1"/>
    <w:rsid w:val="00A61750"/>
    <w:rsid w:val="00A61F98"/>
    <w:rsid w:val="00A812D2"/>
    <w:rsid w:val="00A83281"/>
    <w:rsid w:val="00A8797B"/>
    <w:rsid w:val="00A96116"/>
    <w:rsid w:val="00AB2A87"/>
    <w:rsid w:val="00AB7743"/>
    <w:rsid w:val="00AC4947"/>
    <w:rsid w:val="00AC4C4B"/>
    <w:rsid w:val="00AD5403"/>
    <w:rsid w:val="00AE5236"/>
    <w:rsid w:val="00AE6089"/>
    <w:rsid w:val="00B04630"/>
    <w:rsid w:val="00B0681D"/>
    <w:rsid w:val="00B1198F"/>
    <w:rsid w:val="00B13576"/>
    <w:rsid w:val="00B166D1"/>
    <w:rsid w:val="00B17466"/>
    <w:rsid w:val="00B20156"/>
    <w:rsid w:val="00B22F26"/>
    <w:rsid w:val="00B240F9"/>
    <w:rsid w:val="00B2515F"/>
    <w:rsid w:val="00B37CF0"/>
    <w:rsid w:val="00B415B1"/>
    <w:rsid w:val="00B54987"/>
    <w:rsid w:val="00B6512A"/>
    <w:rsid w:val="00B96D3C"/>
    <w:rsid w:val="00BA7536"/>
    <w:rsid w:val="00BD7037"/>
    <w:rsid w:val="00BF3F52"/>
    <w:rsid w:val="00BF65E9"/>
    <w:rsid w:val="00BF7DC0"/>
    <w:rsid w:val="00C030FB"/>
    <w:rsid w:val="00C065B5"/>
    <w:rsid w:val="00C07723"/>
    <w:rsid w:val="00C26A83"/>
    <w:rsid w:val="00C26C43"/>
    <w:rsid w:val="00C321DE"/>
    <w:rsid w:val="00C463B7"/>
    <w:rsid w:val="00C46630"/>
    <w:rsid w:val="00C52AAA"/>
    <w:rsid w:val="00C57F47"/>
    <w:rsid w:val="00C65E6E"/>
    <w:rsid w:val="00C67767"/>
    <w:rsid w:val="00C702D6"/>
    <w:rsid w:val="00CA1CC8"/>
    <w:rsid w:val="00CE0272"/>
    <w:rsid w:val="00CF229E"/>
    <w:rsid w:val="00D00AB3"/>
    <w:rsid w:val="00D00DFA"/>
    <w:rsid w:val="00D0247C"/>
    <w:rsid w:val="00D05EAA"/>
    <w:rsid w:val="00D231A2"/>
    <w:rsid w:val="00D266AF"/>
    <w:rsid w:val="00D35D10"/>
    <w:rsid w:val="00D372AF"/>
    <w:rsid w:val="00D43313"/>
    <w:rsid w:val="00D54979"/>
    <w:rsid w:val="00D8674B"/>
    <w:rsid w:val="00D90D25"/>
    <w:rsid w:val="00D91582"/>
    <w:rsid w:val="00D936E5"/>
    <w:rsid w:val="00DB075D"/>
    <w:rsid w:val="00DB0DB1"/>
    <w:rsid w:val="00DB10DD"/>
    <w:rsid w:val="00DB7200"/>
    <w:rsid w:val="00DC1ACB"/>
    <w:rsid w:val="00DC5151"/>
    <w:rsid w:val="00DE3A4B"/>
    <w:rsid w:val="00DF79F7"/>
    <w:rsid w:val="00E15076"/>
    <w:rsid w:val="00E32852"/>
    <w:rsid w:val="00E37701"/>
    <w:rsid w:val="00E44625"/>
    <w:rsid w:val="00E51F09"/>
    <w:rsid w:val="00E571BE"/>
    <w:rsid w:val="00E63343"/>
    <w:rsid w:val="00E70E95"/>
    <w:rsid w:val="00E75CF8"/>
    <w:rsid w:val="00E77771"/>
    <w:rsid w:val="00E8715B"/>
    <w:rsid w:val="00EA3DF6"/>
    <w:rsid w:val="00EA5B89"/>
    <w:rsid w:val="00EB4F18"/>
    <w:rsid w:val="00EB680D"/>
    <w:rsid w:val="00EB7E2B"/>
    <w:rsid w:val="00ED0EC5"/>
    <w:rsid w:val="00ED2DA4"/>
    <w:rsid w:val="00ED32A2"/>
    <w:rsid w:val="00EE28D5"/>
    <w:rsid w:val="00EF0082"/>
    <w:rsid w:val="00EF25AB"/>
    <w:rsid w:val="00F259F9"/>
    <w:rsid w:val="00F312F8"/>
    <w:rsid w:val="00F47824"/>
    <w:rsid w:val="00F641C0"/>
    <w:rsid w:val="00F664BD"/>
    <w:rsid w:val="00F67E66"/>
    <w:rsid w:val="00F8191E"/>
    <w:rsid w:val="00F90CF2"/>
    <w:rsid w:val="00FA2124"/>
    <w:rsid w:val="00FB339A"/>
    <w:rsid w:val="00FB576D"/>
    <w:rsid w:val="00FB6DCF"/>
    <w:rsid w:val="00FC7AE1"/>
    <w:rsid w:val="00FD02E1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25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FB7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unhideWhenUsed/>
    <w:rsid w:val="004D114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D1140"/>
    <w:rPr>
      <w:sz w:val="20"/>
      <w:szCs w:val="20"/>
    </w:rPr>
  </w:style>
  <w:style w:type="character" w:styleId="Sprotnaopomba-sklic">
    <w:name w:val="footnote reference"/>
    <w:basedOn w:val="Privzetapisavaodstavka"/>
    <w:unhideWhenUsed/>
    <w:rsid w:val="004D1140"/>
    <w:rPr>
      <w:vertAlign w:val="superscript"/>
    </w:rPr>
  </w:style>
  <w:style w:type="paragraph" w:styleId="Telobesedila">
    <w:name w:val="Body Text"/>
    <w:basedOn w:val="Navaden"/>
    <w:link w:val="TelobesedilaZnak"/>
    <w:rsid w:val="004D114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D1140"/>
    <w:rPr>
      <w:rFonts w:ascii="Arial" w:eastAsia="Times New Roman" w:hAnsi="Arial" w:cs="Arial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B0DB1"/>
    <w:pPr>
      <w:ind w:left="720"/>
      <w:contextualSpacing/>
    </w:pPr>
  </w:style>
  <w:style w:type="paragraph" w:styleId="Navadensplet">
    <w:name w:val="Normal (Web)"/>
    <w:basedOn w:val="Navaden"/>
    <w:rsid w:val="0008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0870A4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semiHidden/>
    <w:unhideWhenUsed/>
    <w:rsid w:val="0008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870A4"/>
  </w:style>
  <w:style w:type="paragraph" w:styleId="Noga">
    <w:name w:val="footer"/>
    <w:basedOn w:val="Navaden"/>
    <w:link w:val="NogaZnak"/>
    <w:uiPriority w:val="99"/>
    <w:unhideWhenUsed/>
    <w:rsid w:val="0008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70A4"/>
  </w:style>
  <w:style w:type="character" w:styleId="Hiperpovezava">
    <w:name w:val="Hyperlink"/>
    <w:basedOn w:val="Privzetapisavaodstavka"/>
    <w:uiPriority w:val="99"/>
    <w:semiHidden/>
    <w:unhideWhenUsed/>
    <w:rsid w:val="001B33F7"/>
    <w:rPr>
      <w:strike w:val="0"/>
      <w:dstrike w:val="0"/>
      <w:color w:val="333333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1B33F7"/>
    <w:rPr>
      <w:b/>
      <w:bCs/>
    </w:rPr>
  </w:style>
  <w:style w:type="character" w:styleId="Poudarek">
    <w:name w:val="Emphasis"/>
    <w:basedOn w:val="Privzetapisavaodstavka"/>
    <w:uiPriority w:val="20"/>
    <w:qFormat/>
    <w:rsid w:val="001B3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BDBDBD"/>
                <w:bottom w:val="none" w:sz="0" w:space="0" w:color="auto"/>
                <w:right w:val="single" w:sz="8" w:space="0" w:color="BDBDBD"/>
              </w:divBdr>
              <w:divsChild>
                <w:div w:id="19779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igita\Documents\Duhovniki\Statistika%20-%20DUHOVNIKI%20-%20za%20&#269;lanek\Za%20objavo%20v%20BV%202017%20-%20Upad%20duhovnikov%20in%20potrebno%20prestrukturiranje%20Cerkve\Za%20novoma&#353;no%20&#353;tevilko%20Dru&#382;ine%20-%20Brigita%20Per&#353;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l-SI"/>
  <c:chart>
    <c:title>
      <c:tx>
        <c:rich>
          <a:bodyPr/>
          <a:lstStyle/>
          <a:p>
            <a:pPr>
              <a:defRPr sz="800" b="1"/>
            </a:pPr>
            <a:r>
              <a:rPr lang="sl-SI" sz="800" b="1"/>
              <a:t>Leto posvetitve</a:t>
            </a:r>
          </a:p>
        </c:rich>
      </c:tx>
      <c:layout>
        <c:manualLayout>
          <c:xMode val="edge"/>
          <c:yMode val="edge"/>
          <c:x val="0.46317159252888984"/>
          <c:y val="0.9339724282037561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92261641452126"/>
          <c:y val="6.0262127428246486E-2"/>
          <c:w val="0.84191686846349145"/>
          <c:h val="0.75976046683485088"/>
        </c:manualLayout>
      </c:layout>
      <c:lineChart>
        <c:grouping val="standard"/>
        <c:ser>
          <c:idx val="0"/>
          <c:order val="0"/>
          <c:tx>
            <c:strRef>
              <c:f>'Graf 2'!$B$4</c:f>
              <c:strCache>
                <c:ptCount val="1"/>
                <c:pt idx="0">
                  <c:v>Škofijski novomašniki</c:v>
                </c:pt>
              </c:strCache>
            </c:strRef>
          </c:tx>
          <c:spPr>
            <a:ln w="12700">
              <a:solidFill>
                <a:srgbClr val="3366FF"/>
              </a:solidFill>
              <a:prstDash val="sysDash"/>
            </a:ln>
          </c:spPr>
          <c:marker>
            <c:symbol val="diamond"/>
            <c:size val="3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Pt>
            <c:idx val="33"/>
            <c:marker>
              <c:spPr>
                <a:solidFill>
                  <a:srgbClr val="FFFFFF"/>
                </a:solidFill>
                <a:ln>
                  <a:solidFill>
                    <a:srgbClr val="FFFFFF"/>
                  </a:solidFill>
                  <a:prstDash val="solid"/>
                </a:ln>
              </c:spPr>
            </c:marker>
            <c:spPr>
              <a:ln w="12700">
                <a:solidFill>
                  <a:srgbClr val="FFFFFF"/>
                </a:solidFill>
                <a:prstDash val="sysDash"/>
              </a:ln>
            </c:spPr>
          </c:dPt>
          <c:dPt>
            <c:idx val="34"/>
            <c:marker>
              <c:spPr>
                <a:solidFill>
                  <a:srgbClr val="FFFFFF"/>
                </a:solidFill>
                <a:ln>
                  <a:solidFill>
                    <a:srgbClr val="FFFFFF"/>
                  </a:solidFill>
                  <a:prstDash val="solid"/>
                </a:ln>
              </c:spPr>
            </c:marker>
            <c:spPr>
              <a:ln w="12700">
                <a:solidFill>
                  <a:srgbClr val="FFFFFF"/>
                </a:solidFill>
                <a:prstDash val="sysDash"/>
              </a:ln>
            </c:spPr>
          </c:dPt>
          <c:cat>
            <c:strRef>
              <c:f>'Graf 2'!$A$5:$A$70</c:f>
              <c:strCache>
                <c:ptCount val="66"/>
                <c:pt idx="0">
                  <c:v> 1952</c:v>
                </c:pt>
                <c:pt idx="1">
                  <c:v> 1953</c:v>
                </c:pt>
                <c:pt idx="2">
                  <c:v> 1954</c:v>
                </c:pt>
                <c:pt idx="3">
                  <c:v> 1955</c:v>
                </c:pt>
                <c:pt idx="4">
                  <c:v> 1956</c:v>
                </c:pt>
                <c:pt idx="5">
                  <c:v> 1957</c:v>
                </c:pt>
                <c:pt idx="6">
                  <c:v> 1958</c:v>
                </c:pt>
                <c:pt idx="7">
                  <c:v> 1959</c:v>
                </c:pt>
                <c:pt idx="8">
                  <c:v> 1960</c:v>
                </c:pt>
                <c:pt idx="9">
                  <c:v> 1961</c:v>
                </c:pt>
                <c:pt idx="10">
                  <c:v> 1962</c:v>
                </c:pt>
                <c:pt idx="11">
                  <c:v> 1963</c:v>
                </c:pt>
                <c:pt idx="12">
                  <c:v> 1964</c:v>
                </c:pt>
                <c:pt idx="13">
                  <c:v> 1965</c:v>
                </c:pt>
                <c:pt idx="14">
                  <c:v> 1966</c:v>
                </c:pt>
                <c:pt idx="15">
                  <c:v> 1967</c:v>
                </c:pt>
                <c:pt idx="16">
                  <c:v> 1968</c:v>
                </c:pt>
                <c:pt idx="17">
                  <c:v> 1969</c:v>
                </c:pt>
                <c:pt idx="18">
                  <c:v> 1970</c:v>
                </c:pt>
                <c:pt idx="19">
                  <c:v> 1971</c:v>
                </c:pt>
                <c:pt idx="20">
                  <c:v> 1972</c:v>
                </c:pt>
                <c:pt idx="21">
                  <c:v> 1973</c:v>
                </c:pt>
                <c:pt idx="22">
                  <c:v> 1974</c:v>
                </c:pt>
                <c:pt idx="23">
                  <c:v> 1975</c:v>
                </c:pt>
                <c:pt idx="24">
                  <c:v> 1976</c:v>
                </c:pt>
                <c:pt idx="25">
                  <c:v> 1977</c:v>
                </c:pt>
                <c:pt idx="26">
                  <c:v> 1978</c:v>
                </c:pt>
                <c:pt idx="27">
                  <c:v> 1979</c:v>
                </c:pt>
                <c:pt idx="28">
                  <c:v> 1980</c:v>
                </c:pt>
                <c:pt idx="29">
                  <c:v> 1981</c:v>
                </c:pt>
                <c:pt idx="30">
                  <c:v> 1982</c:v>
                </c:pt>
                <c:pt idx="31">
                  <c:v> 1983</c:v>
                </c:pt>
                <c:pt idx="32">
                  <c:v> 1984</c:v>
                </c:pt>
                <c:pt idx="33">
                  <c:v> 1985</c:v>
                </c:pt>
                <c:pt idx="34">
                  <c:v> 1986</c:v>
                </c:pt>
                <c:pt idx="35">
                  <c:v> 1987</c:v>
                </c:pt>
                <c:pt idx="36">
                  <c:v> 1988</c:v>
                </c:pt>
                <c:pt idx="37">
                  <c:v> 1989</c:v>
                </c:pt>
                <c:pt idx="38">
                  <c:v> 1990</c:v>
                </c:pt>
                <c:pt idx="39">
                  <c:v> 1991</c:v>
                </c:pt>
                <c:pt idx="40">
                  <c:v> 1992</c:v>
                </c:pt>
                <c:pt idx="41">
                  <c:v> 1993</c:v>
                </c:pt>
                <c:pt idx="42">
                  <c:v> 1994</c:v>
                </c:pt>
                <c:pt idx="43">
                  <c:v> 1995</c:v>
                </c:pt>
                <c:pt idx="44">
                  <c:v> 1996</c:v>
                </c:pt>
                <c:pt idx="45">
                  <c:v> 1997</c:v>
                </c:pt>
                <c:pt idx="46">
                  <c:v> 1998</c:v>
                </c:pt>
                <c:pt idx="47">
                  <c:v> 1999</c:v>
                </c:pt>
                <c:pt idx="48">
                  <c:v> 2000</c:v>
                </c:pt>
                <c:pt idx="49">
                  <c:v> 2001</c:v>
                </c:pt>
                <c:pt idx="50">
                  <c:v> 2002</c:v>
                </c:pt>
                <c:pt idx="51">
                  <c:v> 2003</c:v>
                </c:pt>
                <c:pt idx="52">
                  <c:v> 2004</c:v>
                </c:pt>
                <c:pt idx="53">
                  <c:v> 2005</c:v>
                </c:pt>
                <c:pt idx="54">
                  <c:v> 2006</c:v>
                </c:pt>
                <c:pt idx="55">
                  <c:v> 2007</c:v>
                </c:pt>
                <c:pt idx="56">
                  <c:v> 2008</c:v>
                </c:pt>
                <c:pt idx="57">
                  <c:v> 2009</c:v>
                </c:pt>
                <c:pt idx="58">
                  <c:v> 2010</c:v>
                </c:pt>
                <c:pt idx="59">
                  <c:v> 2011</c:v>
                </c:pt>
                <c:pt idx="60">
                  <c:v> 2012</c:v>
                </c:pt>
                <c:pt idx="61">
                  <c:v> 2013</c:v>
                </c:pt>
                <c:pt idx="62">
                  <c:v> 2014</c:v>
                </c:pt>
                <c:pt idx="63">
                  <c:v> 2015</c:v>
                </c:pt>
                <c:pt idx="64">
                  <c:v> 2016</c:v>
                </c:pt>
                <c:pt idx="65">
                  <c:v> 2017</c:v>
                </c:pt>
              </c:strCache>
            </c:strRef>
          </c:cat>
          <c:val>
            <c:numRef>
              <c:f>'Graf 2'!$B$5:$B$70</c:f>
              <c:numCache>
                <c:formatCode>General</c:formatCode>
                <c:ptCount val="66"/>
                <c:pt idx="0">
                  <c:v>21</c:v>
                </c:pt>
                <c:pt idx="1">
                  <c:v>10</c:v>
                </c:pt>
                <c:pt idx="2">
                  <c:v>12</c:v>
                </c:pt>
                <c:pt idx="3">
                  <c:v>17</c:v>
                </c:pt>
                <c:pt idx="4">
                  <c:v>11</c:v>
                </c:pt>
                <c:pt idx="5">
                  <c:v>17</c:v>
                </c:pt>
                <c:pt idx="6">
                  <c:v>18</c:v>
                </c:pt>
                <c:pt idx="7">
                  <c:v>13</c:v>
                </c:pt>
                <c:pt idx="8">
                  <c:v>16</c:v>
                </c:pt>
                <c:pt idx="9">
                  <c:v>10</c:v>
                </c:pt>
                <c:pt idx="10">
                  <c:v>17</c:v>
                </c:pt>
                <c:pt idx="11">
                  <c:v>12</c:v>
                </c:pt>
                <c:pt idx="12">
                  <c:v>17</c:v>
                </c:pt>
                <c:pt idx="13">
                  <c:v>11</c:v>
                </c:pt>
                <c:pt idx="14">
                  <c:v>13</c:v>
                </c:pt>
                <c:pt idx="15">
                  <c:v>19</c:v>
                </c:pt>
                <c:pt idx="16">
                  <c:v>28</c:v>
                </c:pt>
                <c:pt idx="17">
                  <c:v>27</c:v>
                </c:pt>
                <c:pt idx="18">
                  <c:v>35</c:v>
                </c:pt>
                <c:pt idx="19">
                  <c:v>44</c:v>
                </c:pt>
                <c:pt idx="20">
                  <c:v>34</c:v>
                </c:pt>
                <c:pt idx="21">
                  <c:v>41</c:v>
                </c:pt>
                <c:pt idx="22">
                  <c:v>32</c:v>
                </c:pt>
                <c:pt idx="23">
                  <c:v>38</c:v>
                </c:pt>
                <c:pt idx="24">
                  <c:v>30</c:v>
                </c:pt>
                <c:pt idx="27">
                  <c:v>19</c:v>
                </c:pt>
                <c:pt idx="28">
                  <c:v>24</c:v>
                </c:pt>
                <c:pt idx="29">
                  <c:v>15</c:v>
                </c:pt>
                <c:pt idx="30">
                  <c:v>10</c:v>
                </c:pt>
                <c:pt idx="31">
                  <c:v>12</c:v>
                </c:pt>
                <c:pt idx="32">
                  <c:v>15</c:v>
                </c:pt>
                <c:pt idx="33">
                  <c:v>15</c:v>
                </c:pt>
                <c:pt idx="34">
                  <c:v>7</c:v>
                </c:pt>
                <c:pt idx="35">
                  <c:v>22</c:v>
                </c:pt>
                <c:pt idx="36">
                  <c:v>9</c:v>
                </c:pt>
                <c:pt idx="37">
                  <c:v>23</c:v>
                </c:pt>
                <c:pt idx="38">
                  <c:v>13</c:v>
                </c:pt>
                <c:pt idx="39">
                  <c:v>12</c:v>
                </c:pt>
                <c:pt idx="40">
                  <c:v>17</c:v>
                </c:pt>
                <c:pt idx="41">
                  <c:v>14</c:v>
                </c:pt>
                <c:pt idx="42">
                  <c:v>10</c:v>
                </c:pt>
                <c:pt idx="43">
                  <c:v>16</c:v>
                </c:pt>
                <c:pt idx="44">
                  <c:v>11</c:v>
                </c:pt>
                <c:pt idx="45">
                  <c:v>23</c:v>
                </c:pt>
                <c:pt idx="46">
                  <c:v>15</c:v>
                </c:pt>
                <c:pt idx="47">
                  <c:v>16</c:v>
                </c:pt>
                <c:pt idx="48">
                  <c:v>16</c:v>
                </c:pt>
                <c:pt idx="49">
                  <c:v>8</c:v>
                </c:pt>
                <c:pt idx="50">
                  <c:v>11</c:v>
                </c:pt>
                <c:pt idx="51">
                  <c:v>13</c:v>
                </c:pt>
                <c:pt idx="52">
                  <c:v>12</c:v>
                </c:pt>
                <c:pt idx="53">
                  <c:v>18</c:v>
                </c:pt>
                <c:pt idx="54">
                  <c:v>11</c:v>
                </c:pt>
                <c:pt idx="55">
                  <c:v>8</c:v>
                </c:pt>
                <c:pt idx="56">
                  <c:v>8</c:v>
                </c:pt>
                <c:pt idx="57">
                  <c:v>9</c:v>
                </c:pt>
                <c:pt idx="58">
                  <c:v>10</c:v>
                </c:pt>
                <c:pt idx="59">
                  <c:v>7</c:v>
                </c:pt>
                <c:pt idx="60">
                  <c:v>3</c:v>
                </c:pt>
                <c:pt idx="61">
                  <c:v>8</c:v>
                </c:pt>
                <c:pt idx="62">
                  <c:v>2</c:v>
                </c:pt>
                <c:pt idx="63">
                  <c:v>7</c:v>
                </c:pt>
                <c:pt idx="64">
                  <c:v>9</c:v>
                </c:pt>
                <c:pt idx="65">
                  <c:v>2</c:v>
                </c:pt>
              </c:numCache>
            </c:numRef>
          </c:val>
        </c:ser>
        <c:ser>
          <c:idx val="1"/>
          <c:order val="1"/>
          <c:tx>
            <c:strRef>
              <c:f>'Graf 2'!$C$4</c:f>
              <c:strCache>
                <c:ptCount val="1"/>
                <c:pt idx="0">
                  <c:v>Redovni novomašniki</c:v>
                </c:pt>
              </c:strCache>
            </c:strRef>
          </c:tx>
          <c:spPr>
            <a:ln w="12700">
              <a:solidFill>
                <a:srgbClr val="339966"/>
              </a:solidFill>
              <a:prstDash val="sysDash"/>
            </a:ln>
          </c:spPr>
          <c:marker>
            <c:symbol val="circle"/>
            <c:size val="3"/>
            <c:spPr>
              <a:solidFill>
                <a:srgbClr val="FFFF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Pt>
            <c:idx val="32"/>
            <c:marker>
              <c:spPr>
                <a:solidFill>
                  <a:srgbClr val="FFFFFF"/>
                </a:solidFill>
                <a:ln>
                  <a:solidFill>
                    <a:srgbClr val="FFFFFF"/>
                  </a:solidFill>
                  <a:prstDash val="solid"/>
                </a:ln>
              </c:spPr>
            </c:marker>
            <c:spPr>
              <a:ln w="12700">
                <a:solidFill>
                  <a:srgbClr val="FFFFFF"/>
                </a:solidFill>
                <a:prstDash val="sysDash"/>
              </a:ln>
            </c:spPr>
          </c:dPt>
          <c:dPt>
            <c:idx val="33"/>
            <c:marker>
              <c:spPr>
                <a:solidFill>
                  <a:srgbClr val="FFFFFF"/>
                </a:solidFill>
                <a:ln>
                  <a:solidFill>
                    <a:srgbClr val="FFFFFF"/>
                  </a:solidFill>
                  <a:prstDash val="solid"/>
                </a:ln>
              </c:spPr>
            </c:marker>
            <c:spPr>
              <a:ln w="12700">
                <a:solidFill>
                  <a:srgbClr val="FFFFFF"/>
                </a:solidFill>
                <a:prstDash val="sysDash"/>
              </a:ln>
            </c:spPr>
          </c:dPt>
          <c:cat>
            <c:strRef>
              <c:f>'Graf 2'!$A$5:$A$70</c:f>
              <c:strCache>
                <c:ptCount val="66"/>
                <c:pt idx="0">
                  <c:v> 1952</c:v>
                </c:pt>
                <c:pt idx="1">
                  <c:v> 1953</c:v>
                </c:pt>
                <c:pt idx="2">
                  <c:v> 1954</c:v>
                </c:pt>
                <c:pt idx="3">
                  <c:v> 1955</c:v>
                </c:pt>
                <c:pt idx="4">
                  <c:v> 1956</c:v>
                </c:pt>
                <c:pt idx="5">
                  <c:v> 1957</c:v>
                </c:pt>
                <c:pt idx="6">
                  <c:v> 1958</c:v>
                </c:pt>
                <c:pt idx="7">
                  <c:v> 1959</c:v>
                </c:pt>
                <c:pt idx="8">
                  <c:v> 1960</c:v>
                </c:pt>
                <c:pt idx="9">
                  <c:v> 1961</c:v>
                </c:pt>
                <c:pt idx="10">
                  <c:v> 1962</c:v>
                </c:pt>
                <c:pt idx="11">
                  <c:v> 1963</c:v>
                </c:pt>
                <c:pt idx="12">
                  <c:v> 1964</c:v>
                </c:pt>
                <c:pt idx="13">
                  <c:v> 1965</c:v>
                </c:pt>
                <c:pt idx="14">
                  <c:v> 1966</c:v>
                </c:pt>
                <c:pt idx="15">
                  <c:v> 1967</c:v>
                </c:pt>
                <c:pt idx="16">
                  <c:v> 1968</c:v>
                </c:pt>
                <c:pt idx="17">
                  <c:v> 1969</c:v>
                </c:pt>
                <c:pt idx="18">
                  <c:v> 1970</c:v>
                </c:pt>
                <c:pt idx="19">
                  <c:v> 1971</c:v>
                </c:pt>
                <c:pt idx="20">
                  <c:v> 1972</c:v>
                </c:pt>
                <c:pt idx="21">
                  <c:v> 1973</c:v>
                </c:pt>
                <c:pt idx="22">
                  <c:v> 1974</c:v>
                </c:pt>
                <c:pt idx="23">
                  <c:v> 1975</c:v>
                </c:pt>
                <c:pt idx="24">
                  <c:v> 1976</c:v>
                </c:pt>
                <c:pt idx="25">
                  <c:v> 1977</c:v>
                </c:pt>
                <c:pt idx="26">
                  <c:v> 1978</c:v>
                </c:pt>
                <c:pt idx="27">
                  <c:v> 1979</c:v>
                </c:pt>
                <c:pt idx="28">
                  <c:v> 1980</c:v>
                </c:pt>
                <c:pt idx="29">
                  <c:v> 1981</c:v>
                </c:pt>
                <c:pt idx="30">
                  <c:v> 1982</c:v>
                </c:pt>
                <c:pt idx="31">
                  <c:v> 1983</c:v>
                </c:pt>
                <c:pt idx="32">
                  <c:v> 1984</c:v>
                </c:pt>
                <c:pt idx="33">
                  <c:v> 1985</c:v>
                </c:pt>
                <c:pt idx="34">
                  <c:v> 1986</c:v>
                </c:pt>
                <c:pt idx="35">
                  <c:v> 1987</c:v>
                </c:pt>
                <c:pt idx="36">
                  <c:v> 1988</c:v>
                </c:pt>
                <c:pt idx="37">
                  <c:v> 1989</c:v>
                </c:pt>
                <c:pt idx="38">
                  <c:v> 1990</c:v>
                </c:pt>
                <c:pt idx="39">
                  <c:v> 1991</c:v>
                </c:pt>
                <c:pt idx="40">
                  <c:v> 1992</c:v>
                </c:pt>
                <c:pt idx="41">
                  <c:v> 1993</c:v>
                </c:pt>
                <c:pt idx="42">
                  <c:v> 1994</c:v>
                </c:pt>
                <c:pt idx="43">
                  <c:v> 1995</c:v>
                </c:pt>
                <c:pt idx="44">
                  <c:v> 1996</c:v>
                </c:pt>
                <c:pt idx="45">
                  <c:v> 1997</c:v>
                </c:pt>
                <c:pt idx="46">
                  <c:v> 1998</c:v>
                </c:pt>
                <c:pt idx="47">
                  <c:v> 1999</c:v>
                </c:pt>
                <c:pt idx="48">
                  <c:v> 2000</c:v>
                </c:pt>
                <c:pt idx="49">
                  <c:v> 2001</c:v>
                </c:pt>
                <c:pt idx="50">
                  <c:v> 2002</c:v>
                </c:pt>
                <c:pt idx="51">
                  <c:v> 2003</c:v>
                </c:pt>
                <c:pt idx="52">
                  <c:v> 2004</c:v>
                </c:pt>
                <c:pt idx="53">
                  <c:v> 2005</c:v>
                </c:pt>
                <c:pt idx="54">
                  <c:v> 2006</c:v>
                </c:pt>
                <c:pt idx="55">
                  <c:v> 2007</c:v>
                </c:pt>
                <c:pt idx="56">
                  <c:v> 2008</c:v>
                </c:pt>
                <c:pt idx="57">
                  <c:v> 2009</c:v>
                </c:pt>
                <c:pt idx="58">
                  <c:v> 2010</c:v>
                </c:pt>
                <c:pt idx="59">
                  <c:v> 2011</c:v>
                </c:pt>
                <c:pt idx="60">
                  <c:v> 2012</c:v>
                </c:pt>
                <c:pt idx="61">
                  <c:v> 2013</c:v>
                </c:pt>
                <c:pt idx="62">
                  <c:v> 2014</c:v>
                </c:pt>
                <c:pt idx="63">
                  <c:v> 2015</c:v>
                </c:pt>
                <c:pt idx="64">
                  <c:v> 2016</c:v>
                </c:pt>
                <c:pt idx="65">
                  <c:v> 2017</c:v>
                </c:pt>
              </c:strCache>
            </c:strRef>
          </c:cat>
          <c:val>
            <c:numRef>
              <c:f>'Graf 2'!$C$5:$C$70</c:f>
              <c:numCache>
                <c:formatCode>General</c:formatCode>
                <c:ptCount val="66"/>
                <c:pt idx="0">
                  <c:v>2</c:v>
                </c:pt>
                <c:pt idx="1">
                  <c:v>9</c:v>
                </c:pt>
                <c:pt idx="2">
                  <c:v>3</c:v>
                </c:pt>
                <c:pt idx="3">
                  <c:v>9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6</c:v>
                </c:pt>
                <c:pt idx="8">
                  <c:v>1</c:v>
                </c:pt>
                <c:pt idx="9">
                  <c:v>2</c:v>
                </c:pt>
                <c:pt idx="10">
                  <c:v>5</c:v>
                </c:pt>
                <c:pt idx="11">
                  <c:v>5</c:v>
                </c:pt>
                <c:pt idx="12">
                  <c:v>10</c:v>
                </c:pt>
                <c:pt idx="13">
                  <c:v>11</c:v>
                </c:pt>
                <c:pt idx="14">
                  <c:v>11</c:v>
                </c:pt>
                <c:pt idx="15">
                  <c:v>10</c:v>
                </c:pt>
                <c:pt idx="16">
                  <c:v>13</c:v>
                </c:pt>
                <c:pt idx="17">
                  <c:v>13</c:v>
                </c:pt>
                <c:pt idx="18">
                  <c:v>13</c:v>
                </c:pt>
                <c:pt idx="19">
                  <c:v>10</c:v>
                </c:pt>
                <c:pt idx="20">
                  <c:v>14</c:v>
                </c:pt>
                <c:pt idx="21">
                  <c:v>15</c:v>
                </c:pt>
                <c:pt idx="22">
                  <c:v>8</c:v>
                </c:pt>
                <c:pt idx="23">
                  <c:v>17</c:v>
                </c:pt>
                <c:pt idx="24">
                  <c:v>18</c:v>
                </c:pt>
                <c:pt idx="27">
                  <c:v>15</c:v>
                </c:pt>
                <c:pt idx="28">
                  <c:v>15</c:v>
                </c:pt>
                <c:pt idx="29">
                  <c:v>6</c:v>
                </c:pt>
                <c:pt idx="30">
                  <c:v>6</c:v>
                </c:pt>
                <c:pt idx="31">
                  <c:v>12</c:v>
                </c:pt>
                <c:pt idx="32">
                  <c:v>7</c:v>
                </c:pt>
                <c:pt idx="33">
                  <c:v>9</c:v>
                </c:pt>
                <c:pt idx="34">
                  <c:v>9</c:v>
                </c:pt>
                <c:pt idx="35">
                  <c:v>5</c:v>
                </c:pt>
                <c:pt idx="36">
                  <c:v>7</c:v>
                </c:pt>
                <c:pt idx="37">
                  <c:v>10</c:v>
                </c:pt>
                <c:pt idx="38">
                  <c:v>8</c:v>
                </c:pt>
                <c:pt idx="39">
                  <c:v>7</c:v>
                </c:pt>
                <c:pt idx="40">
                  <c:v>9</c:v>
                </c:pt>
                <c:pt idx="41">
                  <c:v>5</c:v>
                </c:pt>
                <c:pt idx="42">
                  <c:v>7</c:v>
                </c:pt>
                <c:pt idx="43">
                  <c:v>5</c:v>
                </c:pt>
                <c:pt idx="44">
                  <c:v>7</c:v>
                </c:pt>
                <c:pt idx="45">
                  <c:v>9</c:v>
                </c:pt>
                <c:pt idx="46">
                  <c:v>7</c:v>
                </c:pt>
                <c:pt idx="47">
                  <c:v>11</c:v>
                </c:pt>
                <c:pt idx="48">
                  <c:v>8</c:v>
                </c:pt>
                <c:pt idx="49">
                  <c:v>9</c:v>
                </c:pt>
                <c:pt idx="50">
                  <c:v>3</c:v>
                </c:pt>
                <c:pt idx="51">
                  <c:v>8</c:v>
                </c:pt>
                <c:pt idx="52">
                  <c:v>3</c:v>
                </c:pt>
                <c:pt idx="53">
                  <c:v>4</c:v>
                </c:pt>
                <c:pt idx="54">
                  <c:v>5</c:v>
                </c:pt>
                <c:pt idx="55">
                  <c:v>7</c:v>
                </c:pt>
                <c:pt idx="56">
                  <c:v>1</c:v>
                </c:pt>
                <c:pt idx="57">
                  <c:v>1</c:v>
                </c:pt>
                <c:pt idx="58">
                  <c:v>0</c:v>
                </c:pt>
                <c:pt idx="59">
                  <c:v>2</c:v>
                </c:pt>
                <c:pt idx="60">
                  <c:v>5</c:v>
                </c:pt>
                <c:pt idx="61">
                  <c:v>1</c:v>
                </c:pt>
                <c:pt idx="62">
                  <c:v>2</c:v>
                </c:pt>
                <c:pt idx="63">
                  <c:v>3</c:v>
                </c:pt>
                <c:pt idx="64">
                  <c:v>5</c:v>
                </c:pt>
                <c:pt idx="65">
                  <c:v>1</c:v>
                </c:pt>
              </c:numCache>
            </c:numRef>
          </c:val>
        </c:ser>
        <c:ser>
          <c:idx val="2"/>
          <c:order val="2"/>
          <c:tx>
            <c:strRef>
              <c:f>'Graf 2'!$D$4</c:f>
              <c:strCache>
                <c:ptCount val="1"/>
                <c:pt idx="0">
                  <c:v>VSI NOVOMAŠNIKI</c:v>
                </c:pt>
              </c:strCache>
            </c:strRef>
          </c:tx>
          <c:spPr>
            <a:ln w="22225">
              <a:solidFill>
                <a:schemeClr val="tx1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'Graf 2'!$A$5:$A$70</c:f>
              <c:strCache>
                <c:ptCount val="66"/>
                <c:pt idx="0">
                  <c:v> 1952</c:v>
                </c:pt>
                <c:pt idx="1">
                  <c:v> 1953</c:v>
                </c:pt>
                <c:pt idx="2">
                  <c:v> 1954</c:v>
                </c:pt>
                <c:pt idx="3">
                  <c:v> 1955</c:v>
                </c:pt>
                <c:pt idx="4">
                  <c:v> 1956</c:v>
                </c:pt>
                <c:pt idx="5">
                  <c:v> 1957</c:v>
                </c:pt>
                <c:pt idx="6">
                  <c:v> 1958</c:v>
                </c:pt>
                <c:pt idx="7">
                  <c:v> 1959</c:v>
                </c:pt>
                <c:pt idx="8">
                  <c:v> 1960</c:v>
                </c:pt>
                <c:pt idx="9">
                  <c:v> 1961</c:v>
                </c:pt>
                <c:pt idx="10">
                  <c:v> 1962</c:v>
                </c:pt>
                <c:pt idx="11">
                  <c:v> 1963</c:v>
                </c:pt>
                <c:pt idx="12">
                  <c:v> 1964</c:v>
                </c:pt>
                <c:pt idx="13">
                  <c:v> 1965</c:v>
                </c:pt>
                <c:pt idx="14">
                  <c:v> 1966</c:v>
                </c:pt>
                <c:pt idx="15">
                  <c:v> 1967</c:v>
                </c:pt>
                <c:pt idx="16">
                  <c:v> 1968</c:v>
                </c:pt>
                <c:pt idx="17">
                  <c:v> 1969</c:v>
                </c:pt>
                <c:pt idx="18">
                  <c:v> 1970</c:v>
                </c:pt>
                <c:pt idx="19">
                  <c:v> 1971</c:v>
                </c:pt>
                <c:pt idx="20">
                  <c:v> 1972</c:v>
                </c:pt>
                <c:pt idx="21">
                  <c:v> 1973</c:v>
                </c:pt>
                <c:pt idx="22">
                  <c:v> 1974</c:v>
                </c:pt>
                <c:pt idx="23">
                  <c:v> 1975</c:v>
                </c:pt>
                <c:pt idx="24">
                  <c:v> 1976</c:v>
                </c:pt>
                <c:pt idx="25">
                  <c:v> 1977</c:v>
                </c:pt>
                <c:pt idx="26">
                  <c:v> 1978</c:v>
                </c:pt>
                <c:pt idx="27">
                  <c:v> 1979</c:v>
                </c:pt>
                <c:pt idx="28">
                  <c:v> 1980</c:v>
                </c:pt>
                <c:pt idx="29">
                  <c:v> 1981</c:v>
                </c:pt>
                <c:pt idx="30">
                  <c:v> 1982</c:v>
                </c:pt>
                <c:pt idx="31">
                  <c:v> 1983</c:v>
                </c:pt>
                <c:pt idx="32">
                  <c:v> 1984</c:v>
                </c:pt>
                <c:pt idx="33">
                  <c:v> 1985</c:v>
                </c:pt>
                <c:pt idx="34">
                  <c:v> 1986</c:v>
                </c:pt>
                <c:pt idx="35">
                  <c:v> 1987</c:v>
                </c:pt>
                <c:pt idx="36">
                  <c:v> 1988</c:v>
                </c:pt>
                <c:pt idx="37">
                  <c:v> 1989</c:v>
                </c:pt>
                <c:pt idx="38">
                  <c:v> 1990</c:v>
                </c:pt>
                <c:pt idx="39">
                  <c:v> 1991</c:v>
                </c:pt>
                <c:pt idx="40">
                  <c:v> 1992</c:v>
                </c:pt>
                <c:pt idx="41">
                  <c:v> 1993</c:v>
                </c:pt>
                <c:pt idx="42">
                  <c:v> 1994</c:v>
                </c:pt>
                <c:pt idx="43">
                  <c:v> 1995</c:v>
                </c:pt>
                <c:pt idx="44">
                  <c:v> 1996</c:v>
                </c:pt>
                <c:pt idx="45">
                  <c:v> 1997</c:v>
                </c:pt>
                <c:pt idx="46">
                  <c:v> 1998</c:v>
                </c:pt>
                <c:pt idx="47">
                  <c:v> 1999</c:v>
                </c:pt>
                <c:pt idx="48">
                  <c:v> 2000</c:v>
                </c:pt>
                <c:pt idx="49">
                  <c:v> 2001</c:v>
                </c:pt>
                <c:pt idx="50">
                  <c:v> 2002</c:v>
                </c:pt>
                <c:pt idx="51">
                  <c:v> 2003</c:v>
                </c:pt>
                <c:pt idx="52">
                  <c:v> 2004</c:v>
                </c:pt>
                <c:pt idx="53">
                  <c:v> 2005</c:v>
                </c:pt>
                <c:pt idx="54">
                  <c:v> 2006</c:v>
                </c:pt>
                <c:pt idx="55">
                  <c:v> 2007</c:v>
                </c:pt>
                <c:pt idx="56">
                  <c:v> 2008</c:v>
                </c:pt>
                <c:pt idx="57">
                  <c:v> 2009</c:v>
                </c:pt>
                <c:pt idx="58">
                  <c:v> 2010</c:v>
                </c:pt>
                <c:pt idx="59">
                  <c:v> 2011</c:v>
                </c:pt>
                <c:pt idx="60">
                  <c:v> 2012</c:v>
                </c:pt>
                <c:pt idx="61">
                  <c:v> 2013</c:v>
                </c:pt>
                <c:pt idx="62">
                  <c:v> 2014</c:v>
                </c:pt>
                <c:pt idx="63">
                  <c:v> 2015</c:v>
                </c:pt>
                <c:pt idx="64">
                  <c:v> 2016</c:v>
                </c:pt>
                <c:pt idx="65">
                  <c:v> 2017</c:v>
                </c:pt>
              </c:strCache>
            </c:strRef>
          </c:cat>
          <c:val>
            <c:numRef>
              <c:f>'Graf 2'!$D$5:$D$70</c:f>
              <c:numCache>
                <c:formatCode>General</c:formatCode>
                <c:ptCount val="66"/>
                <c:pt idx="0">
                  <c:v>23</c:v>
                </c:pt>
                <c:pt idx="1">
                  <c:v>19</c:v>
                </c:pt>
                <c:pt idx="2">
                  <c:v>15</c:v>
                </c:pt>
                <c:pt idx="3">
                  <c:v>26</c:v>
                </c:pt>
                <c:pt idx="4">
                  <c:v>14</c:v>
                </c:pt>
                <c:pt idx="5">
                  <c:v>22</c:v>
                </c:pt>
                <c:pt idx="6">
                  <c:v>22</c:v>
                </c:pt>
                <c:pt idx="7">
                  <c:v>19</c:v>
                </c:pt>
                <c:pt idx="8">
                  <c:v>17</c:v>
                </c:pt>
                <c:pt idx="9">
                  <c:v>12</c:v>
                </c:pt>
                <c:pt idx="10">
                  <c:v>22</c:v>
                </c:pt>
                <c:pt idx="11">
                  <c:v>17</c:v>
                </c:pt>
                <c:pt idx="12">
                  <c:v>27</c:v>
                </c:pt>
                <c:pt idx="13">
                  <c:v>22</c:v>
                </c:pt>
                <c:pt idx="14">
                  <c:v>24</c:v>
                </c:pt>
                <c:pt idx="15">
                  <c:v>29</c:v>
                </c:pt>
                <c:pt idx="16">
                  <c:v>41</c:v>
                </c:pt>
                <c:pt idx="17">
                  <c:v>40</c:v>
                </c:pt>
                <c:pt idx="18">
                  <c:v>48</c:v>
                </c:pt>
                <c:pt idx="19">
                  <c:v>54</c:v>
                </c:pt>
                <c:pt idx="20">
                  <c:v>48</c:v>
                </c:pt>
                <c:pt idx="21">
                  <c:v>56</c:v>
                </c:pt>
                <c:pt idx="22">
                  <c:v>40</c:v>
                </c:pt>
                <c:pt idx="23">
                  <c:v>55</c:v>
                </c:pt>
                <c:pt idx="24">
                  <c:v>48</c:v>
                </c:pt>
                <c:pt idx="27">
                  <c:v>34</c:v>
                </c:pt>
                <c:pt idx="28">
                  <c:v>39</c:v>
                </c:pt>
                <c:pt idx="29">
                  <c:v>21</c:v>
                </c:pt>
                <c:pt idx="30">
                  <c:v>16</c:v>
                </c:pt>
                <c:pt idx="31">
                  <c:v>24</c:v>
                </c:pt>
                <c:pt idx="32">
                  <c:v>22</c:v>
                </c:pt>
                <c:pt idx="33">
                  <c:v>24</c:v>
                </c:pt>
                <c:pt idx="34">
                  <c:v>16</c:v>
                </c:pt>
                <c:pt idx="35">
                  <c:v>27</c:v>
                </c:pt>
                <c:pt idx="36">
                  <c:v>16</c:v>
                </c:pt>
                <c:pt idx="37">
                  <c:v>33</c:v>
                </c:pt>
                <c:pt idx="38">
                  <c:v>21</c:v>
                </c:pt>
                <c:pt idx="39">
                  <c:v>19</c:v>
                </c:pt>
                <c:pt idx="40">
                  <c:v>26</c:v>
                </c:pt>
                <c:pt idx="41">
                  <c:v>19</c:v>
                </c:pt>
                <c:pt idx="42">
                  <c:v>17</c:v>
                </c:pt>
                <c:pt idx="43">
                  <c:v>21</c:v>
                </c:pt>
                <c:pt idx="44">
                  <c:v>18</c:v>
                </c:pt>
                <c:pt idx="45">
                  <c:v>32</c:v>
                </c:pt>
                <c:pt idx="46">
                  <c:v>22</c:v>
                </c:pt>
                <c:pt idx="47">
                  <c:v>27</c:v>
                </c:pt>
                <c:pt idx="48">
                  <c:v>24</c:v>
                </c:pt>
                <c:pt idx="49">
                  <c:v>17</c:v>
                </c:pt>
                <c:pt idx="50">
                  <c:v>14</c:v>
                </c:pt>
                <c:pt idx="51">
                  <c:v>21</c:v>
                </c:pt>
                <c:pt idx="52">
                  <c:v>15</c:v>
                </c:pt>
                <c:pt idx="53">
                  <c:v>22</c:v>
                </c:pt>
                <c:pt idx="54">
                  <c:v>16</c:v>
                </c:pt>
                <c:pt idx="55">
                  <c:v>15</c:v>
                </c:pt>
                <c:pt idx="56">
                  <c:v>9</c:v>
                </c:pt>
                <c:pt idx="57">
                  <c:v>10</c:v>
                </c:pt>
                <c:pt idx="58">
                  <c:v>10</c:v>
                </c:pt>
                <c:pt idx="59">
                  <c:v>9</c:v>
                </c:pt>
                <c:pt idx="60">
                  <c:v>8</c:v>
                </c:pt>
                <c:pt idx="61">
                  <c:v>9</c:v>
                </c:pt>
                <c:pt idx="62">
                  <c:v>4</c:v>
                </c:pt>
                <c:pt idx="63">
                  <c:v>10</c:v>
                </c:pt>
                <c:pt idx="64">
                  <c:v>14</c:v>
                </c:pt>
                <c:pt idx="65">
                  <c:v>3</c:v>
                </c:pt>
              </c:numCache>
            </c:numRef>
          </c:val>
        </c:ser>
        <c:marker val="1"/>
        <c:axId val="90793472"/>
        <c:axId val="90795392"/>
      </c:lineChart>
      <c:catAx>
        <c:axId val="90793472"/>
        <c:scaling>
          <c:orientation val="minMax"/>
        </c:scaling>
        <c:axPos val="b"/>
        <c:numFmt formatCode="@" sourceLinked="1"/>
        <c:tickLblPos val="nextTo"/>
        <c:spPr>
          <a:ln w="3175">
            <a:solidFill>
              <a:schemeClr val="tx1">
                <a:lumMod val="50000"/>
                <a:lumOff val="50000"/>
              </a:schemeClr>
            </a:solidFill>
            <a:prstDash val="solid"/>
          </a:ln>
        </c:spPr>
        <c:txPr>
          <a:bodyPr rot="-5400000" vert="horz"/>
          <a:lstStyle/>
          <a:p>
            <a:pPr>
              <a:defRPr sz="750"/>
            </a:pPr>
            <a:endParaRPr lang="sl-SI"/>
          </a:p>
        </c:txPr>
        <c:crossAx val="90795392"/>
        <c:crosses val="autoZero"/>
        <c:auto val="1"/>
        <c:lblAlgn val="ctr"/>
        <c:lblOffset val="100"/>
        <c:tickLblSkip val="2"/>
        <c:tickMarkSkip val="1"/>
      </c:catAx>
      <c:valAx>
        <c:axId val="90795392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b="1"/>
                </a:pPr>
                <a:r>
                  <a:rPr lang="sl-SI" b="1"/>
                  <a:t>Število novomašnikov</a:t>
                </a:r>
              </a:p>
            </c:rich>
          </c:tx>
          <c:layout>
            <c:manualLayout>
              <c:xMode val="edge"/>
              <c:yMode val="edge"/>
              <c:x val="2.8714226352968369E-2"/>
              <c:y val="0.2511663226562697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chemeClr val="tx1">
                <a:lumMod val="50000"/>
                <a:lumOff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sl-SI"/>
          </a:p>
        </c:txPr>
        <c:crossAx val="90793472"/>
        <c:crosses val="autoZero"/>
        <c:crossBetween val="between"/>
      </c:valAx>
      <c:spPr>
        <a:solidFill>
          <a:srgbClr val="FFFFFF"/>
        </a:solidFill>
        <a:ln w="12700">
          <a:solidFill>
            <a:schemeClr val="bg1">
              <a:lumMod val="50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949747263556221"/>
          <c:y val="0.1203584503393384"/>
          <c:w val="0.29793529315849548"/>
          <c:h val="0.16613442737133605"/>
        </c:manualLayout>
      </c:layout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  <a:prstDash val="solid"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+mn-lt"/>
          <a:ea typeface="Arial CE"/>
          <a:cs typeface="Arial CE"/>
        </a:defRPr>
      </a:pPr>
      <a:endParaRPr lang="sl-SI"/>
    </a:p>
  </c:txPr>
  <c:externalData r:id="rId1"/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9EBC7-EC0F-4765-B998-CCC4818F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Brigita</cp:lastModifiedBy>
  <cp:revision>3</cp:revision>
  <dcterms:created xsi:type="dcterms:W3CDTF">2017-09-01T12:29:00Z</dcterms:created>
  <dcterms:modified xsi:type="dcterms:W3CDTF">2017-10-02T10:40:00Z</dcterms:modified>
</cp:coreProperties>
</file>